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E9156" w14:textId="77777777" w:rsidR="008804BF" w:rsidRPr="0052638D" w:rsidRDefault="008804BF" w:rsidP="0052638D">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Brandon A. Sibley</w:t>
      </w:r>
    </w:p>
    <w:p w14:paraId="014A6C2F" w14:textId="77777777" w:rsidR="008804BF" w:rsidRPr="0052638D" w:rsidRDefault="008804BF" w:rsidP="0052638D">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17517 Cline Drive</w:t>
      </w:r>
    </w:p>
    <w:p w14:paraId="1F24F5AF" w14:textId="77777777" w:rsidR="008804BF" w:rsidRPr="0052638D" w:rsidRDefault="008804BF" w:rsidP="0052638D">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Maurepas, LA 70449</w:t>
      </w:r>
    </w:p>
    <w:p w14:paraId="67F1ED4D" w14:textId="77777777" w:rsidR="008804BF" w:rsidRPr="0052638D" w:rsidRDefault="008804BF" w:rsidP="0052638D">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Phone: (225) 369-7806</w:t>
      </w:r>
    </w:p>
    <w:p w14:paraId="47298730" w14:textId="77777777" w:rsidR="008804BF" w:rsidRPr="0052638D" w:rsidRDefault="008804BF" w:rsidP="0052638D">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Fax: (985) 238-3818</w:t>
      </w:r>
    </w:p>
    <w:p w14:paraId="1F34274A" w14:textId="77777777" w:rsidR="008804BF" w:rsidRPr="0052638D" w:rsidRDefault="008804BF" w:rsidP="0052638D">
      <w:pPr>
        <w:spacing w:after="0" w:line="240" w:lineRule="auto"/>
        <w:contextualSpacing/>
        <w:rPr>
          <w:rFonts w:ascii="Times New Roman" w:hAnsi="Times New Roman" w:cs="Times New Roman"/>
          <w:sz w:val="16"/>
          <w:szCs w:val="16"/>
        </w:rPr>
      </w:pPr>
    </w:p>
    <w:p w14:paraId="2ED3F61C" w14:textId="77777777" w:rsidR="008804BF" w:rsidRPr="0052638D" w:rsidRDefault="008804BF" w:rsidP="0052638D">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Howard G. Brown</w:t>
      </w:r>
    </w:p>
    <w:p w14:paraId="14955ACE" w14:textId="77777777" w:rsidR="008804BF" w:rsidRPr="0052638D" w:rsidRDefault="008804BF" w:rsidP="0052638D">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1344 Lakeridge Drive</w:t>
      </w:r>
    </w:p>
    <w:p w14:paraId="40C94104" w14:textId="77777777" w:rsidR="008804BF" w:rsidRPr="0052638D" w:rsidRDefault="008804BF" w:rsidP="0052638D">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Baton Rouge, LA 70802</w:t>
      </w:r>
    </w:p>
    <w:p w14:paraId="03D0086E" w14:textId="77777777" w:rsidR="008804BF" w:rsidRPr="0052638D" w:rsidRDefault="008804BF" w:rsidP="0052638D">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Phone: (504) 756-1987</w:t>
      </w:r>
    </w:p>
    <w:p w14:paraId="5EE00C7F" w14:textId="531FFF45" w:rsidR="008804BF" w:rsidRPr="0052638D" w:rsidRDefault="008804BF" w:rsidP="0052638D">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Fax: (985) 238-3818</w:t>
      </w:r>
    </w:p>
    <w:p w14:paraId="5ACCA780" w14:textId="77777777" w:rsidR="008804BF" w:rsidRPr="0052638D" w:rsidRDefault="008804BF" w:rsidP="0052638D">
      <w:pPr>
        <w:spacing w:line="240" w:lineRule="auto"/>
        <w:rPr>
          <w:rFonts w:ascii="Times New Roman" w:hAnsi="Times New Roman" w:cs="Times New Roman"/>
          <w:b/>
          <w:bCs/>
          <w:sz w:val="24"/>
          <w:szCs w:val="24"/>
        </w:rPr>
      </w:pPr>
    </w:p>
    <w:p w14:paraId="47E0315E" w14:textId="10EC7838" w:rsidR="00C20010" w:rsidRPr="0052638D" w:rsidRDefault="00C20010" w:rsidP="00C20010">
      <w:pPr>
        <w:spacing w:line="240" w:lineRule="auto"/>
        <w:jc w:val="center"/>
        <w:rPr>
          <w:rFonts w:ascii="Times New Roman" w:hAnsi="Times New Roman" w:cs="Times New Roman"/>
          <w:b/>
          <w:bCs/>
          <w:sz w:val="28"/>
          <w:szCs w:val="28"/>
        </w:rPr>
      </w:pPr>
      <w:r w:rsidRPr="0052638D">
        <w:rPr>
          <w:rFonts w:ascii="Times New Roman" w:hAnsi="Times New Roman" w:cs="Times New Roman"/>
          <w:b/>
          <w:bCs/>
          <w:sz w:val="28"/>
          <w:szCs w:val="28"/>
        </w:rPr>
        <w:t>IN THE UNITED STATES DISTRICT COURT FOR THE SOUTHERN DISTRICT OF MISSISSIPPI (Northern Jackson)</w:t>
      </w:r>
    </w:p>
    <w:p w14:paraId="7ED2BEA2" w14:textId="77777777" w:rsidR="00C20010" w:rsidRPr="0052638D" w:rsidRDefault="00C20010" w:rsidP="00C20010">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HOWARD BROWN,</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75E844BC" w14:textId="77777777" w:rsidR="00C20010" w:rsidRPr="0052638D" w:rsidRDefault="00C20010" w:rsidP="00C20010">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BRANDON SIBLEY,</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6AA1D21C" w14:textId="77777777" w:rsidR="00C20010" w:rsidRPr="0052638D" w:rsidRDefault="00C20010" w:rsidP="00C20010">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Plaintiffs,</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5D067913" w14:textId="77777777" w:rsidR="00C20010" w:rsidRPr="0052638D" w:rsidRDefault="00C20010" w:rsidP="00C20010">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V.</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t>Case No. 3:22-cv-00256-DPJ-FKB</w:t>
      </w:r>
    </w:p>
    <w:p w14:paraId="5C5FC63C" w14:textId="633A9CD0" w:rsidR="00C20010" w:rsidRPr="0052638D" w:rsidRDefault="00C20010" w:rsidP="00C20010">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 xml:space="preserve">CHOCTAW RESORT </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0052638D">
        <w:rPr>
          <w:rFonts w:ascii="Times New Roman" w:hAnsi="Times New Roman" w:cs="Times New Roman"/>
          <w:b/>
          <w:bCs/>
          <w:sz w:val="28"/>
          <w:szCs w:val="28"/>
        </w:rPr>
        <w:t xml:space="preserve">        </w:t>
      </w:r>
      <w:r w:rsidR="002E1B6F">
        <w:rPr>
          <w:rFonts w:ascii="Times New Roman" w:hAnsi="Times New Roman" w:cs="Times New Roman"/>
          <w:b/>
          <w:bCs/>
          <w:sz w:val="28"/>
          <w:szCs w:val="28"/>
        </w:rPr>
        <w:t xml:space="preserve">  )</w:t>
      </w:r>
    </w:p>
    <w:p w14:paraId="6144E10F" w14:textId="7A63DBBE" w:rsidR="00C20010" w:rsidRPr="0052638D" w:rsidRDefault="00C20010" w:rsidP="00C20010">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DEVOLPMENT ENTERPRISE,</w:t>
      </w:r>
      <w:r w:rsidRPr="0052638D">
        <w:rPr>
          <w:rFonts w:ascii="Times New Roman" w:hAnsi="Times New Roman" w:cs="Times New Roman"/>
          <w:b/>
          <w:bCs/>
          <w:sz w:val="28"/>
          <w:szCs w:val="28"/>
        </w:rPr>
        <w:tab/>
        <w:t>)</w:t>
      </w:r>
    </w:p>
    <w:p w14:paraId="42097C12" w14:textId="77777777" w:rsidR="000E50B6" w:rsidRDefault="00C20010" w:rsidP="00C20010">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ET AL.,</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p>
    <w:p w14:paraId="470574D6" w14:textId="1AD2A692" w:rsidR="00C20010" w:rsidRPr="0052638D" w:rsidRDefault="00C20010" w:rsidP="00C20010">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Defendants.</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000E50B6">
        <w:rPr>
          <w:rFonts w:ascii="Times New Roman" w:hAnsi="Times New Roman" w:cs="Times New Roman"/>
          <w:b/>
          <w:bCs/>
          <w:sz w:val="28"/>
          <w:szCs w:val="28"/>
        </w:rPr>
        <w:tab/>
      </w:r>
      <w:r w:rsidR="000E50B6">
        <w:rPr>
          <w:rFonts w:ascii="Times New Roman" w:hAnsi="Times New Roman" w:cs="Times New Roman"/>
          <w:b/>
          <w:bCs/>
          <w:sz w:val="28"/>
          <w:szCs w:val="28"/>
        </w:rPr>
        <w:tab/>
      </w:r>
      <w:r w:rsidRPr="0052638D">
        <w:rPr>
          <w:rFonts w:ascii="Times New Roman" w:hAnsi="Times New Roman" w:cs="Times New Roman"/>
          <w:b/>
          <w:bCs/>
          <w:sz w:val="28"/>
          <w:szCs w:val="28"/>
        </w:rPr>
        <w:t>)</w:t>
      </w:r>
    </w:p>
    <w:p w14:paraId="376019FF" w14:textId="77777777" w:rsidR="00C20010" w:rsidRPr="0052638D" w:rsidRDefault="00C20010" w:rsidP="00C20010">
      <w:pPr>
        <w:spacing w:after="0" w:line="240" w:lineRule="auto"/>
        <w:rPr>
          <w:rFonts w:ascii="Times New Roman" w:hAnsi="Times New Roman" w:cs="Times New Roman"/>
          <w:b/>
          <w:bCs/>
          <w:sz w:val="28"/>
          <w:szCs w:val="28"/>
          <w:u w:val="single"/>
        </w:rPr>
      </w:pPr>
    </w:p>
    <w:p w14:paraId="7CD226D2" w14:textId="302A68A5" w:rsidR="00C20010" w:rsidRPr="0052638D" w:rsidRDefault="00C20010" w:rsidP="00C20010">
      <w:pPr>
        <w:spacing w:line="240" w:lineRule="auto"/>
        <w:jc w:val="center"/>
        <w:rPr>
          <w:rFonts w:ascii="Times New Roman" w:hAnsi="Times New Roman" w:cs="Times New Roman"/>
          <w:b/>
          <w:bCs/>
          <w:sz w:val="28"/>
          <w:szCs w:val="28"/>
          <w:u w:val="single"/>
        </w:rPr>
      </w:pPr>
      <w:r w:rsidRPr="0052638D">
        <w:rPr>
          <w:rFonts w:ascii="Times New Roman" w:hAnsi="Times New Roman" w:cs="Times New Roman"/>
          <w:b/>
          <w:bCs/>
          <w:sz w:val="28"/>
          <w:szCs w:val="28"/>
          <w:u w:val="single"/>
        </w:rPr>
        <w:t xml:space="preserve">MEMORANDUM IN SUPPORT OF PLAINTIFF’S MOTION </w:t>
      </w:r>
      <w:r w:rsidR="007C2902" w:rsidRPr="0052638D">
        <w:rPr>
          <w:rFonts w:ascii="Times New Roman" w:hAnsi="Times New Roman" w:cs="Times New Roman"/>
          <w:b/>
          <w:bCs/>
          <w:sz w:val="28"/>
          <w:szCs w:val="28"/>
          <w:u w:val="single"/>
        </w:rPr>
        <w:t>TO SHOW CAUSE</w:t>
      </w:r>
    </w:p>
    <w:p w14:paraId="41B58FD5" w14:textId="77777777" w:rsidR="008804BF" w:rsidRPr="0052638D" w:rsidRDefault="008804BF" w:rsidP="00C20010">
      <w:pPr>
        <w:spacing w:line="240" w:lineRule="auto"/>
        <w:jc w:val="center"/>
        <w:rPr>
          <w:rFonts w:ascii="Times New Roman" w:hAnsi="Times New Roman" w:cs="Times New Roman"/>
          <w:b/>
          <w:bCs/>
          <w:sz w:val="24"/>
          <w:szCs w:val="24"/>
          <w:u w:val="single"/>
        </w:rPr>
      </w:pPr>
    </w:p>
    <w:p w14:paraId="5DCF05D5" w14:textId="1E74184B" w:rsidR="00C20010" w:rsidRPr="0052638D" w:rsidRDefault="00C20010" w:rsidP="00314C8B">
      <w:pPr>
        <w:pStyle w:val="ListParagraph"/>
        <w:numPr>
          <w:ilvl w:val="0"/>
          <w:numId w:val="1"/>
        </w:numPr>
        <w:spacing w:line="240" w:lineRule="auto"/>
        <w:jc w:val="center"/>
        <w:rPr>
          <w:rFonts w:ascii="Times New Roman" w:hAnsi="Times New Roman" w:cs="Times New Roman"/>
          <w:b/>
          <w:bCs/>
          <w:sz w:val="28"/>
          <w:szCs w:val="28"/>
          <w:u w:val="single"/>
        </w:rPr>
      </w:pPr>
      <w:r w:rsidRPr="0052638D">
        <w:rPr>
          <w:rFonts w:ascii="Times New Roman" w:hAnsi="Times New Roman" w:cs="Times New Roman"/>
          <w:b/>
          <w:bCs/>
          <w:sz w:val="28"/>
          <w:szCs w:val="28"/>
          <w:u w:val="single"/>
        </w:rPr>
        <w:t>INTRODUCTION</w:t>
      </w:r>
    </w:p>
    <w:p w14:paraId="66D4C62B" w14:textId="77777777" w:rsidR="008804BF" w:rsidRPr="001540C6" w:rsidRDefault="008804BF" w:rsidP="0052638D">
      <w:pPr>
        <w:pStyle w:val="ListParagraph"/>
        <w:spacing w:line="240" w:lineRule="auto"/>
        <w:rPr>
          <w:rFonts w:ascii="Times New Roman" w:hAnsi="Times New Roman" w:cs="Times New Roman"/>
          <w:b/>
          <w:bCs/>
          <w:sz w:val="24"/>
          <w:szCs w:val="24"/>
          <w:u w:val="single"/>
        </w:rPr>
      </w:pPr>
    </w:p>
    <w:p w14:paraId="7DFF49DD" w14:textId="5396168D" w:rsidR="00314C8B" w:rsidRPr="001540C6" w:rsidRDefault="00314C8B" w:rsidP="0052638D">
      <w:pPr>
        <w:spacing w:line="480" w:lineRule="auto"/>
        <w:rPr>
          <w:rFonts w:ascii="Times New Roman" w:hAnsi="Times New Roman" w:cs="Times New Roman"/>
          <w:sz w:val="24"/>
          <w:szCs w:val="24"/>
        </w:rPr>
      </w:pPr>
      <w:r w:rsidRPr="001540C6">
        <w:rPr>
          <w:rFonts w:ascii="Times New Roman" w:hAnsi="Times New Roman" w:cs="Times New Roman"/>
          <w:sz w:val="24"/>
          <w:szCs w:val="24"/>
        </w:rPr>
        <w:t>Plaintiffs Howard Brown and Brandon Sibley</w:t>
      </w:r>
      <w:r w:rsidR="007C009D" w:rsidRPr="001540C6">
        <w:rPr>
          <w:rFonts w:ascii="Times New Roman" w:hAnsi="Times New Roman" w:cs="Times New Roman"/>
          <w:sz w:val="24"/>
          <w:szCs w:val="24"/>
        </w:rPr>
        <w:t xml:space="preserve"> (</w:t>
      </w:r>
      <w:r w:rsidRPr="001540C6">
        <w:rPr>
          <w:rFonts w:ascii="Times New Roman" w:hAnsi="Times New Roman" w:cs="Times New Roman"/>
          <w:sz w:val="24"/>
          <w:szCs w:val="24"/>
        </w:rPr>
        <w:t>hereinafter Plaintiffs</w:t>
      </w:r>
      <w:r w:rsidR="007C009D" w:rsidRPr="001540C6">
        <w:rPr>
          <w:rFonts w:ascii="Times New Roman" w:hAnsi="Times New Roman" w:cs="Times New Roman"/>
          <w:sz w:val="24"/>
          <w:szCs w:val="24"/>
        </w:rPr>
        <w:t>)</w:t>
      </w:r>
      <w:r w:rsidRPr="001540C6">
        <w:rPr>
          <w:rFonts w:ascii="Times New Roman" w:hAnsi="Times New Roman" w:cs="Times New Roman"/>
          <w:sz w:val="24"/>
          <w:szCs w:val="24"/>
        </w:rPr>
        <w:t xml:space="preserve"> have </w:t>
      </w:r>
      <w:r w:rsidR="008804BF" w:rsidRPr="001540C6">
        <w:rPr>
          <w:rFonts w:ascii="Times New Roman" w:hAnsi="Times New Roman" w:cs="Times New Roman"/>
          <w:sz w:val="24"/>
          <w:szCs w:val="24"/>
        </w:rPr>
        <w:t>revealed to this Court</w:t>
      </w:r>
      <w:r w:rsidRPr="001540C6">
        <w:rPr>
          <w:rFonts w:ascii="Times New Roman" w:hAnsi="Times New Roman" w:cs="Times New Roman"/>
          <w:sz w:val="24"/>
          <w:szCs w:val="24"/>
        </w:rPr>
        <w:t xml:space="preserve"> duplicity, obfuscation, stonewalling, and untruthful statements from Defendants</w:t>
      </w:r>
      <w:r w:rsidR="008804BF" w:rsidRPr="001540C6">
        <w:rPr>
          <w:rFonts w:ascii="Times New Roman" w:hAnsi="Times New Roman" w:cs="Times New Roman"/>
          <w:sz w:val="24"/>
          <w:szCs w:val="24"/>
        </w:rPr>
        <w:t>’</w:t>
      </w:r>
      <w:r w:rsidRPr="001540C6">
        <w:rPr>
          <w:rFonts w:ascii="Times New Roman" w:hAnsi="Times New Roman" w:cs="Times New Roman"/>
          <w:sz w:val="24"/>
          <w:szCs w:val="24"/>
        </w:rPr>
        <w:t xml:space="preserve"> Counsel, in an attempt to mislead th</w:t>
      </w:r>
      <w:r w:rsidR="008F33CA" w:rsidRPr="0052638D">
        <w:rPr>
          <w:rFonts w:ascii="Times New Roman" w:hAnsi="Times New Roman" w:cs="Times New Roman"/>
          <w:sz w:val="24"/>
          <w:szCs w:val="24"/>
        </w:rPr>
        <w:t>is</w:t>
      </w:r>
      <w:r w:rsidRPr="001540C6">
        <w:rPr>
          <w:rFonts w:ascii="Times New Roman" w:hAnsi="Times New Roman" w:cs="Times New Roman"/>
          <w:sz w:val="24"/>
          <w:szCs w:val="24"/>
        </w:rPr>
        <w:t xml:space="preserve"> court.</w:t>
      </w:r>
    </w:p>
    <w:p w14:paraId="21F93CD3" w14:textId="683E79F7" w:rsidR="00314C8B" w:rsidRPr="001540C6" w:rsidRDefault="00314C8B" w:rsidP="0052638D">
      <w:pPr>
        <w:spacing w:line="480" w:lineRule="auto"/>
        <w:rPr>
          <w:rFonts w:ascii="Times New Roman" w:hAnsi="Times New Roman" w:cs="Times New Roman"/>
          <w:sz w:val="24"/>
          <w:szCs w:val="24"/>
        </w:rPr>
      </w:pPr>
      <w:r w:rsidRPr="001540C6">
        <w:rPr>
          <w:rFonts w:ascii="Times New Roman" w:hAnsi="Times New Roman" w:cs="Times New Roman"/>
          <w:sz w:val="24"/>
          <w:szCs w:val="24"/>
        </w:rPr>
        <w:t>Defendants</w:t>
      </w:r>
      <w:r w:rsidR="00D45ECA" w:rsidRPr="001540C6">
        <w:rPr>
          <w:rFonts w:ascii="Times New Roman" w:hAnsi="Times New Roman" w:cs="Times New Roman"/>
          <w:sz w:val="24"/>
          <w:szCs w:val="24"/>
        </w:rPr>
        <w:t>’</w:t>
      </w:r>
      <w:r w:rsidRPr="001540C6">
        <w:rPr>
          <w:rFonts w:ascii="Times New Roman" w:hAnsi="Times New Roman" w:cs="Times New Roman"/>
          <w:sz w:val="24"/>
          <w:szCs w:val="24"/>
        </w:rPr>
        <w:t xml:space="preserve"> Counsel has yet to enter </w:t>
      </w:r>
      <w:r w:rsidR="008F33CA" w:rsidRPr="0052638D">
        <w:rPr>
          <w:rFonts w:ascii="Times New Roman" w:hAnsi="Times New Roman" w:cs="Times New Roman"/>
          <w:sz w:val="24"/>
          <w:szCs w:val="24"/>
        </w:rPr>
        <w:t>ANY</w:t>
      </w:r>
      <w:r w:rsidR="008F33CA" w:rsidRPr="001540C6">
        <w:rPr>
          <w:rFonts w:ascii="Times New Roman" w:hAnsi="Times New Roman" w:cs="Times New Roman"/>
          <w:sz w:val="24"/>
          <w:szCs w:val="24"/>
        </w:rPr>
        <w:t xml:space="preserve"> </w:t>
      </w:r>
      <w:r w:rsidRPr="001540C6">
        <w:rPr>
          <w:rFonts w:ascii="Times New Roman" w:hAnsi="Times New Roman" w:cs="Times New Roman"/>
          <w:sz w:val="24"/>
          <w:szCs w:val="24"/>
        </w:rPr>
        <w:t>evidence in the record</w:t>
      </w:r>
      <w:r w:rsidR="00542A2D" w:rsidRPr="001540C6">
        <w:rPr>
          <w:rFonts w:ascii="Times New Roman" w:hAnsi="Times New Roman" w:cs="Times New Roman"/>
          <w:sz w:val="24"/>
          <w:szCs w:val="24"/>
        </w:rPr>
        <w:t>,</w:t>
      </w:r>
      <w:r w:rsidRPr="001540C6">
        <w:rPr>
          <w:rFonts w:ascii="Times New Roman" w:hAnsi="Times New Roman" w:cs="Times New Roman"/>
          <w:sz w:val="24"/>
          <w:szCs w:val="24"/>
        </w:rPr>
        <w:t xml:space="preserve"> from any </w:t>
      </w:r>
      <w:r w:rsidR="008F33CA" w:rsidRPr="0052638D">
        <w:rPr>
          <w:rFonts w:ascii="Times New Roman" w:hAnsi="Times New Roman" w:cs="Times New Roman"/>
          <w:sz w:val="24"/>
          <w:szCs w:val="24"/>
        </w:rPr>
        <w:t>that could</w:t>
      </w:r>
      <w:r w:rsidRPr="001540C6">
        <w:rPr>
          <w:rFonts w:ascii="Times New Roman" w:hAnsi="Times New Roman" w:cs="Times New Roman"/>
          <w:sz w:val="24"/>
          <w:szCs w:val="24"/>
        </w:rPr>
        <w:t xml:space="preserve"> testify with first-hand </w:t>
      </w:r>
      <w:r w:rsidR="008F33CA" w:rsidRPr="0052638D">
        <w:rPr>
          <w:rFonts w:ascii="Times New Roman" w:hAnsi="Times New Roman" w:cs="Times New Roman"/>
          <w:sz w:val="24"/>
          <w:szCs w:val="24"/>
        </w:rPr>
        <w:t>knowledge as</w:t>
      </w:r>
      <w:r w:rsidRPr="001540C6">
        <w:rPr>
          <w:rFonts w:ascii="Times New Roman" w:hAnsi="Times New Roman" w:cs="Times New Roman"/>
          <w:sz w:val="24"/>
          <w:szCs w:val="24"/>
        </w:rPr>
        <w:t xml:space="preserve"> to the incident in question.</w:t>
      </w:r>
    </w:p>
    <w:p w14:paraId="7F987E6B" w14:textId="7C1A8A60" w:rsidR="00C20010" w:rsidRPr="001540C6" w:rsidRDefault="00937296" w:rsidP="0052638D">
      <w:pPr>
        <w:spacing w:line="480" w:lineRule="auto"/>
        <w:rPr>
          <w:rFonts w:ascii="Times New Roman" w:hAnsi="Times New Roman" w:cs="Times New Roman"/>
          <w:sz w:val="24"/>
          <w:szCs w:val="24"/>
        </w:rPr>
      </w:pPr>
      <w:r w:rsidRPr="0052638D">
        <w:rPr>
          <w:rFonts w:ascii="Times New Roman" w:hAnsi="Times New Roman" w:cs="Times New Roman"/>
          <w:sz w:val="24"/>
          <w:szCs w:val="24"/>
        </w:rPr>
        <w:t>FRCP</w:t>
      </w:r>
      <w:r w:rsidR="00C20010" w:rsidRPr="001540C6">
        <w:rPr>
          <w:rFonts w:ascii="Times New Roman" w:hAnsi="Times New Roman" w:cs="Times New Roman"/>
          <w:sz w:val="24"/>
          <w:szCs w:val="24"/>
        </w:rPr>
        <w:t xml:space="preserve"> and the United States Code authorize courts to impose sanctions for various types of misconduct. </w:t>
      </w:r>
      <w:r w:rsidRPr="0052638D">
        <w:rPr>
          <w:rFonts w:ascii="Times New Roman" w:hAnsi="Times New Roman" w:cs="Times New Roman"/>
          <w:sz w:val="24"/>
          <w:szCs w:val="24"/>
        </w:rPr>
        <w:t>Most</w:t>
      </w:r>
      <w:r w:rsidR="00C20010" w:rsidRPr="001540C6">
        <w:rPr>
          <w:rFonts w:ascii="Times New Roman" w:hAnsi="Times New Roman" w:cs="Times New Roman"/>
          <w:sz w:val="24"/>
          <w:szCs w:val="24"/>
        </w:rPr>
        <w:t xml:space="preserve"> states have adopted </w:t>
      </w:r>
      <w:r w:rsidRPr="0052638D">
        <w:rPr>
          <w:rFonts w:ascii="Times New Roman" w:hAnsi="Times New Roman" w:cs="Times New Roman"/>
          <w:sz w:val="24"/>
          <w:szCs w:val="24"/>
        </w:rPr>
        <w:t>either</w:t>
      </w:r>
      <w:r w:rsidR="00C20010" w:rsidRPr="001540C6">
        <w:rPr>
          <w:rFonts w:ascii="Times New Roman" w:hAnsi="Times New Roman" w:cs="Times New Roman"/>
          <w:sz w:val="24"/>
          <w:szCs w:val="24"/>
        </w:rPr>
        <w:t xml:space="preserve"> </w:t>
      </w:r>
      <w:r w:rsidRPr="0052638D">
        <w:rPr>
          <w:rFonts w:ascii="Times New Roman" w:hAnsi="Times New Roman" w:cs="Times New Roman"/>
          <w:sz w:val="24"/>
          <w:szCs w:val="24"/>
        </w:rPr>
        <w:t>FRCP</w:t>
      </w:r>
      <w:r w:rsidR="00C20010" w:rsidRPr="001540C6">
        <w:rPr>
          <w:rFonts w:ascii="Times New Roman" w:hAnsi="Times New Roman" w:cs="Times New Roman"/>
          <w:sz w:val="24"/>
          <w:szCs w:val="24"/>
        </w:rPr>
        <w:t xml:space="preserve"> or similar provisions granting the authority to impose sanctions. </w:t>
      </w:r>
      <w:r w:rsidR="00241CF0">
        <w:rPr>
          <w:rFonts w:ascii="Times New Roman" w:hAnsi="Times New Roman" w:cs="Times New Roman"/>
          <w:sz w:val="24"/>
          <w:szCs w:val="24"/>
        </w:rPr>
        <w:t>Further</w:t>
      </w:r>
      <w:r w:rsidR="00C20010" w:rsidRPr="001540C6">
        <w:rPr>
          <w:rFonts w:ascii="Times New Roman" w:hAnsi="Times New Roman" w:cs="Times New Roman"/>
          <w:sz w:val="24"/>
          <w:szCs w:val="24"/>
        </w:rPr>
        <w:t xml:space="preserve">, courts are vested with the inherent power to control litigants and </w:t>
      </w:r>
      <w:r w:rsidR="00C20010" w:rsidRPr="001540C6">
        <w:rPr>
          <w:rFonts w:ascii="Times New Roman" w:hAnsi="Times New Roman" w:cs="Times New Roman"/>
          <w:sz w:val="24"/>
          <w:szCs w:val="24"/>
        </w:rPr>
        <w:lastRenderedPageBreak/>
        <w:t>parties who come within their jurisdiction</w:t>
      </w:r>
      <w:r w:rsidR="00241CF0">
        <w:rPr>
          <w:rFonts w:ascii="Times New Roman" w:hAnsi="Times New Roman" w:cs="Times New Roman"/>
          <w:sz w:val="24"/>
          <w:szCs w:val="24"/>
        </w:rPr>
        <w:t xml:space="preserve"> which includes</w:t>
      </w:r>
      <w:r w:rsidR="00C20010" w:rsidRPr="001540C6">
        <w:rPr>
          <w:rFonts w:ascii="Times New Roman" w:hAnsi="Times New Roman" w:cs="Times New Roman"/>
          <w:sz w:val="24"/>
          <w:szCs w:val="24"/>
        </w:rPr>
        <w:t xml:space="preserve"> </w:t>
      </w:r>
      <w:r w:rsidR="00241CF0">
        <w:rPr>
          <w:rFonts w:ascii="Times New Roman" w:hAnsi="Times New Roman" w:cs="Times New Roman"/>
          <w:sz w:val="24"/>
          <w:szCs w:val="24"/>
        </w:rPr>
        <w:t xml:space="preserve">the </w:t>
      </w:r>
      <w:r w:rsidR="00C20010" w:rsidRPr="001540C6">
        <w:rPr>
          <w:rFonts w:ascii="Times New Roman" w:hAnsi="Times New Roman" w:cs="Times New Roman"/>
          <w:sz w:val="24"/>
          <w:szCs w:val="24"/>
        </w:rPr>
        <w:t>impos</w:t>
      </w:r>
      <w:r w:rsidR="00241CF0">
        <w:rPr>
          <w:rFonts w:ascii="Times New Roman" w:hAnsi="Times New Roman" w:cs="Times New Roman"/>
          <w:sz w:val="24"/>
          <w:szCs w:val="24"/>
        </w:rPr>
        <w:t>ition of</w:t>
      </w:r>
      <w:r w:rsidR="00C20010" w:rsidRPr="001540C6">
        <w:rPr>
          <w:rFonts w:ascii="Times New Roman" w:hAnsi="Times New Roman" w:cs="Times New Roman"/>
          <w:sz w:val="24"/>
          <w:szCs w:val="24"/>
        </w:rPr>
        <w:t xml:space="preserve"> sanctions for bad faith conduct. The </w:t>
      </w:r>
      <w:r w:rsidR="000D1190">
        <w:rPr>
          <w:rFonts w:ascii="Times New Roman" w:hAnsi="Times New Roman" w:cs="Times New Roman"/>
          <w:sz w:val="24"/>
          <w:szCs w:val="24"/>
        </w:rPr>
        <w:t xml:space="preserve">power to sanction and when is largely left to the Court’s discretion. </w:t>
      </w:r>
      <w:r w:rsidR="00C20010" w:rsidRPr="001540C6">
        <w:rPr>
          <w:rFonts w:ascii="Times New Roman" w:hAnsi="Times New Roman" w:cs="Times New Roman"/>
          <w:sz w:val="24"/>
          <w:szCs w:val="24"/>
        </w:rPr>
        <w:t xml:space="preserve">The following statutes, rules, and inherent powers </w:t>
      </w:r>
      <w:r w:rsidR="000D1190">
        <w:rPr>
          <w:rFonts w:ascii="Times New Roman" w:hAnsi="Times New Roman" w:cs="Times New Roman"/>
          <w:sz w:val="24"/>
          <w:szCs w:val="24"/>
        </w:rPr>
        <w:t>describe the</w:t>
      </w:r>
      <w:r w:rsidR="00C20010" w:rsidRPr="001540C6">
        <w:rPr>
          <w:rFonts w:ascii="Times New Roman" w:hAnsi="Times New Roman" w:cs="Times New Roman"/>
          <w:sz w:val="24"/>
          <w:szCs w:val="24"/>
        </w:rPr>
        <w:t xml:space="preserve"> principal sources of the courts power to sanction.</w:t>
      </w:r>
    </w:p>
    <w:p w14:paraId="11A6C460" w14:textId="350A8DBF" w:rsidR="00D20096" w:rsidRDefault="00314C8B" w:rsidP="00314C8B">
      <w:pPr>
        <w:pStyle w:val="ListParagraph"/>
        <w:numPr>
          <w:ilvl w:val="0"/>
          <w:numId w:val="1"/>
        </w:numPr>
        <w:jc w:val="center"/>
        <w:rPr>
          <w:rFonts w:ascii="Times New Roman" w:hAnsi="Times New Roman" w:cs="Times New Roman"/>
          <w:b/>
          <w:bCs/>
          <w:sz w:val="24"/>
          <w:szCs w:val="24"/>
          <w:u w:val="single"/>
        </w:rPr>
      </w:pPr>
      <w:r w:rsidRPr="0052638D">
        <w:rPr>
          <w:rFonts w:ascii="Times New Roman" w:hAnsi="Times New Roman" w:cs="Times New Roman"/>
          <w:b/>
          <w:bCs/>
          <w:sz w:val="24"/>
          <w:szCs w:val="24"/>
          <w:u w:val="single"/>
        </w:rPr>
        <w:t>MEMORANDUM OF LAW</w:t>
      </w:r>
    </w:p>
    <w:p w14:paraId="70EC9F1E" w14:textId="77777777" w:rsidR="00162D18" w:rsidRPr="0052638D" w:rsidRDefault="00162D18" w:rsidP="0052638D">
      <w:pPr>
        <w:pStyle w:val="ListParagraph"/>
        <w:rPr>
          <w:rFonts w:ascii="Times New Roman" w:hAnsi="Times New Roman" w:cs="Times New Roman"/>
          <w:b/>
          <w:bCs/>
          <w:sz w:val="24"/>
          <w:szCs w:val="24"/>
          <w:u w:val="single"/>
        </w:rPr>
      </w:pPr>
    </w:p>
    <w:p w14:paraId="4C0AC95B" w14:textId="77777777" w:rsidR="00F23CD4" w:rsidRDefault="00F23CD4" w:rsidP="00F23CD4">
      <w:pPr>
        <w:pStyle w:val="ListParagraph"/>
        <w:spacing w:line="480" w:lineRule="auto"/>
        <w:ind w:left="0"/>
        <w:rPr>
          <w:rFonts w:ascii="Times New Roman" w:hAnsi="Times New Roman" w:cs="Times New Roman"/>
          <w:sz w:val="24"/>
          <w:szCs w:val="24"/>
        </w:rPr>
      </w:pPr>
      <w:r>
        <w:rPr>
          <w:rFonts w:ascii="Times New Roman" w:hAnsi="Times New Roman" w:cs="Times New Roman"/>
          <w:b/>
          <w:bCs/>
          <w:sz w:val="24"/>
          <w:szCs w:val="24"/>
        </w:rPr>
        <w:t xml:space="preserve">1. </w:t>
      </w:r>
      <w:r w:rsidR="00314C8B" w:rsidRPr="0052638D">
        <w:rPr>
          <w:rFonts w:ascii="Times New Roman" w:hAnsi="Times New Roman" w:cs="Times New Roman"/>
          <w:b/>
          <w:bCs/>
          <w:sz w:val="24"/>
          <w:szCs w:val="24"/>
        </w:rPr>
        <w:t>Rule 11</w:t>
      </w:r>
      <w:r w:rsidR="00314C8B" w:rsidRPr="001540C6">
        <w:rPr>
          <w:rFonts w:ascii="Times New Roman" w:hAnsi="Times New Roman" w:cs="Times New Roman"/>
          <w:sz w:val="24"/>
          <w:szCs w:val="24"/>
        </w:rPr>
        <w:t xml:space="preserve">. Signing Pleadings, Motions, and other papers; Representatives to the Court; Sanctions. </w:t>
      </w:r>
    </w:p>
    <w:p w14:paraId="1E3BB844" w14:textId="6C6DD17E" w:rsidR="00314C8B" w:rsidRPr="001540C6" w:rsidRDefault="00314C8B" w:rsidP="00F23CD4">
      <w:pPr>
        <w:pStyle w:val="ListParagraph"/>
        <w:spacing w:line="480" w:lineRule="auto"/>
        <w:rPr>
          <w:rFonts w:ascii="Times New Roman" w:hAnsi="Times New Roman" w:cs="Times New Roman"/>
          <w:sz w:val="24"/>
          <w:szCs w:val="24"/>
        </w:rPr>
      </w:pPr>
      <w:r w:rsidRPr="0052638D">
        <w:rPr>
          <w:rFonts w:ascii="Times New Roman" w:hAnsi="Times New Roman" w:cs="Times New Roman"/>
          <w:b/>
          <w:bCs/>
          <w:sz w:val="24"/>
          <w:szCs w:val="24"/>
        </w:rPr>
        <w:t>(a)</w:t>
      </w:r>
      <w:r w:rsidRPr="001540C6">
        <w:rPr>
          <w:rFonts w:ascii="Times New Roman" w:hAnsi="Times New Roman" w:cs="Times New Roman"/>
          <w:sz w:val="24"/>
          <w:szCs w:val="24"/>
        </w:rPr>
        <w:t xml:space="preserve"> </w:t>
      </w:r>
      <w:r w:rsidRPr="001540C6">
        <w:rPr>
          <w:rFonts w:ascii="Times New Roman" w:hAnsi="Times New Roman" w:cs="Times New Roman"/>
          <w:b/>
          <w:bCs/>
          <w:sz w:val="24"/>
          <w:szCs w:val="24"/>
        </w:rPr>
        <w:t xml:space="preserve">Signature. </w:t>
      </w:r>
      <w:r w:rsidRPr="001540C6">
        <w:rPr>
          <w:rFonts w:ascii="Times New Roman" w:hAnsi="Times New Roman" w:cs="Times New Roman"/>
          <w:sz w:val="24"/>
          <w:szCs w:val="24"/>
        </w:rPr>
        <w:t xml:space="preserve">Every pleading, written motion, and other paper must be signed by at least one attorney of record in the attorney’s name – or by a party personally in the party is unrepresented.  </w:t>
      </w:r>
    </w:p>
    <w:p w14:paraId="087749E6" w14:textId="1C0245C8" w:rsidR="00314C8B" w:rsidRPr="001540C6" w:rsidRDefault="00314C8B" w:rsidP="00314C8B">
      <w:pPr>
        <w:pStyle w:val="ListParagraph"/>
        <w:spacing w:line="480" w:lineRule="auto"/>
        <w:rPr>
          <w:rFonts w:ascii="Times New Roman" w:hAnsi="Times New Roman" w:cs="Times New Roman"/>
          <w:sz w:val="24"/>
          <w:szCs w:val="24"/>
        </w:rPr>
      </w:pPr>
      <w:r w:rsidRPr="001540C6">
        <w:rPr>
          <w:rFonts w:ascii="Times New Roman" w:hAnsi="Times New Roman" w:cs="Times New Roman"/>
          <w:b/>
          <w:bCs/>
          <w:sz w:val="24"/>
          <w:szCs w:val="24"/>
        </w:rPr>
        <w:t>(b) Representations to the Court</w:t>
      </w:r>
      <w:r w:rsidRPr="001540C6">
        <w:rPr>
          <w:rFonts w:ascii="Times New Roman" w:hAnsi="Times New Roman" w:cs="Times New Roman"/>
          <w:sz w:val="24"/>
          <w:szCs w:val="24"/>
        </w:rPr>
        <w:t>. By presenting to the court a pleading, written motion, or other paper—whether by signing, filing, submitting, or later advocating it—an attorney or unrepresented party certifies that to the best of the person's knowledge, information, and belief, formed after an inquiry reasonable under the circumstances:</w:t>
      </w:r>
    </w:p>
    <w:p w14:paraId="635AAA09" w14:textId="77777777" w:rsidR="00314C8B" w:rsidRPr="001540C6" w:rsidRDefault="00314C8B" w:rsidP="00314C8B">
      <w:pPr>
        <w:pStyle w:val="ListParagraph"/>
        <w:spacing w:line="480" w:lineRule="auto"/>
        <w:rPr>
          <w:rFonts w:ascii="Times New Roman" w:hAnsi="Times New Roman" w:cs="Times New Roman"/>
          <w:sz w:val="24"/>
          <w:szCs w:val="24"/>
        </w:rPr>
      </w:pPr>
      <w:r w:rsidRPr="0052638D">
        <w:rPr>
          <w:rFonts w:ascii="Times New Roman" w:hAnsi="Times New Roman" w:cs="Times New Roman"/>
          <w:b/>
          <w:bCs/>
          <w:sz w:val="24"/>
          <w:szCs w:val="24"/>
        </w:rPr>
        <w:t>(1)</w:t>
      </w:r>
      <w:r w:rsidRPr="001540C6">
        <w:rPr>
          <w:rFonts w:ascii="Times New Roman" w:hAnsi="Times New Roman" w:cs="Times New Roman"/>
          <w:sz w:val="24"/>
          <w:szCs w:val="24"/>
        </w:rPr>
        <w:t xml:space="preserve"> it is not being presented for any improper purpose, such as to </w:t>
      </w:r>
      <w:r w:rsidRPr="0052638D">
        <w:rPr>
          <w:rFonts w:ascii="Times New Roman" w:hAnsi="Times New Roman" w:cs="Times New Roman"/>
          <w:sz w:val="24"/>
          <w:szCs w:val="24"/>
          <w:u w:val="single"/>
        </w:rPr>
        <w:t>harass, cause unnecessary delay, or needlessly increase the cost of litigation</w:t>
      </w:r>
      <w:r w:rsidRPr="001540C6">
        <w:rPr>
          <w:rFonts w:ascii="Times New Roman" w:hAnsi="Times New Roman" w:cs="Times New Roman"/>
          <w:sz w:val="24"/>
          <w:szCs w:val="24"/>
        </w:rPr>
        <w:t>;</w:t>
      </w:r>
    </w:p>
    <w:p w14:paraId="2839FEED" w14:textId="77777777" w:rsidR="00314C8B" w:rsidRPr="001540C6" w:rsidRDefault="00314C8B" w:rsidP="00314C8B">
      <w:pPr>
        <w:pStyle w:val="ListParagraph"/>
        <w:spacing w:line="480" w:lineRule="auto"/>
        <w:rPr>
          <w:rFonts w:ascii="Times New Roman" w:hAnsi="Times New Roman" w:cs="Times New Roman"/>
          <w:sz w:val="24"/>
          <w:szCs w:val="24"/>
        </w:rPr>
      </w:pPr>
      <w:r w:rsidRPr="0052638D">
        <w:rPr>
          <w:rFonts w:ascii="Times New Roman" w:hAnsi="Times New Roman" w:cs="Times New Roman"/>
          <w:b/>
          <w:bCs/>
          <w:sz w:val="24"/>
          <w:szCs w:val="24"/>
        </w:rPr>
        <w:t>(2)</w:t>
      </w:r>
      <w:r w:rsidRPr="001540C6">
        <w:rPr>
          <w:rFonts w:ascii="Times New Roman" w:hAnsi="Times New Roman" w:cs="Times New Roman"/>
          <w:sz w:val="24"/>
          <w:szCs w:val="24"/>
        </w:rPr>
        <w:t xml:space="preserve"> the claims, defenses, and other legal contentions are warranted by existing law or by a </w:t>
      </w:r>
      <w:r w:rsidRPr="0052638D">
        <w:rPr>
          <w:rFonts w:ascii="Times New Roman" w:hAnsi="Times New Roman" w:cs="Times New Roman"/>
          <w:sz w:val="24"/>
          <w:szCs w:val="24"/>
          <w:u w:val="single"/>
        </w:rPr>
        <w:t>nonfrivolous argument</w:t>
      </w:r>
      <w:r w:rsidRPr="001540C6">
        <w:rPr>
          <w:rFonts w:ascii="Times New Roman" w:hAnsi="Times New Roman" w:cs="Times New Roman"/>
          <w:sz w:val="24"/>
          <w:szCs w:val="24"/>
        </w:rPr>
        <w:t xml:space="preserve"> for extending, modifying, or reversing existing law or for establishing new law;</w:t>
      </w:r>
    </w:p>
    <w:p w14:paraId="53F593E7" w14:textId="77777777" w:rsidR="00314C8B" w:rsidRPr="001540C6" w:rsidRDefault="00314C8B" w:rsidP="00314C8B">
      <w:pPr>
        <w:pStyle w:val="ListParagraph"/>
        <w:spacing w:line="480" w:lineRule="auto"/>
        <w:rPr>
          <w:rFonts w:ascii="Times New Roman" w:hAnsi="Times New Roman" w:cs="Times New Roman"/>
          <w:sz w:val="24"/>
          <w:szCs w:val="24"/>
        </w:rPr>
      </w:pPr>
      <w:r w:rsidRPr="0052638D">
        <w:rPr>
          <w:rFonts w:ascii="Times New Roman" w:hAnsi="Times New Roman" w:cs="Times New Roman"/>
          <w:b/>
          <w:bCs/>
          <w:sz w:val="24"/>
          <w:szCs w:val="24"/>
        </w:rPr>
        <w:t>(3)</w:t>
      </w:r>
      <w:r w:rsidRPr="001540C6">
        <w:rPr>
          <w:rFonts w:ascii="Times New Roman" w:hAnsi="Times New Roman" w:cs="Times New Roman"/>
          <w:sz w:val="24"/>
          <w:szCs w:val="24"/>
        </w:rPr>
        <w:t xml:space="preserve"> the factual contentions have </w:t>
      </w:r>
      <w:r w:rsidRPr="0052638D">
        <w:rPr>
          <w:rFonts w:ascii="Times New Roman" w:hAnsi="Times New Roman" w:cs="Times New Roman"/>
          <w:sz w:val="24"/>
          <w:szCs w:val="24"/>
          <w:u w:val="single"/>
        </w:rPr>
        <w:t>evidentiary support</w:t>
      </w:r>
      <w:r w:rsidRPr="001540C6">
        <w:rPr>
          <w:rFonts w:ascii="Times New Roman" w:hAnsi="Times New Roman" w:cs="Times New Roman"/>
          <w:sz w:val="24"/>
          <w:szCs w:val="24"/>
        </w:rPr>
        <w:t xml:space="preserve"> or, if specifically, so identified, will likely have evidentiary support after a reasonable opportunity for further investigation or discovery; and</w:t>
      </w:r>
    </w:p>
    <w:p w14:paraId="0F37DB8A" w14:textId="77777777" w:rsidR="00314C8B" w:rsidRPr="001540C6" w:rsidRDefault="00314C8B" w:rsidP="00314C8B">
      <w:pPr>
        <w:pStyle w:val="ListParagraph"/>
        <w:spacing w:line="480" w:lineRule="auto"/>
        <w:rPr>
          <w:rFonts w:ascii="Times New Roman" w:hAnsi="Times New Roman" w:cs="Times New Roman"/>
          <w:sz w:val="24"/>
          <w:szCs w:val="24"/>
        </w:rPr>
      </w:pPr>
      <w:r w:rsidRPr="0052638D">
        <w:rPr>
          <w:rFonts w:ascii="Times New Roman" w:hAnsi="Times New Roman" w:cs="Times New Roman"/>
          <w:b/>
          <w:bCs/>
          <w:sz w:val="24"/>
          <w:szCs w:val="24"/>
        </w:rPr>
        <w:lastRenderedPageBreak/>
        <w:t>(4)</w:t>
      </w:r>
      <w:r w:rsidRPr="001540C6">
        <w:rPr>
          <w:rFonts w:ascii="Times New Roman" w:hAnsi="Times New Roman" w:cs="Times New Roman"/>
          <w:sz w:val="24"/>
          <w:szCs w:val="24"/>
        </w:rPr>
        <w:t xml:space="preserve"> the denials of factual contentions are </w:t>
      </w:r>
      <w:r w:rsidRPr="0052638D">
        <w:rPr>
          <w:rFonts w:ascii="Times New Roman" w:hAnsi="Times New Roman" w:cs="Times New Roman"/>
          <w:sz w:val="24"/>
          <w:szCs w:val="24"/>
          <w:u w:val="single"/>
        </w:rPr>
        <w:t>warranted on the evidence</w:t>
      </w:r>
      <w:r w:rsidRPr="001540C6">
        <w:rPr>
          <w:rFonts w:ascii="Times New Roman" w:hAnsi="Times New Roman" w:cs="Times New Roman"/>
          <w:sz w:val="24"/>
          <w:szCs w:val="24"/>
        </w:rPr>
        <w:t xml:space="preserve"> or, if specifically, so identified, are reasonably based on belief or a lack of information.</w:t>
      </w:r>
    </w:p>
    <w:p w14:paraId="6CEDEFB5" w14:textId="77777777" w:rsidR="00314C8B" w:rsidRPr="001540C6" w:rsidRDefault="00314C8B" w:rsidP="00314C8B">
      <w:pPr>
        <w:pStyle w:val="ListParagraph"/>
        <w:spacing w:line="480" w:lineRule="auto"/>
        <w:rPr>
          <w:rFonts w:ascii="Times New Roman" w:hAnsi="Times New Roman" w:cs="Times New Roman"/>
          <w:b/>
          <w:bCs/>
          <w:sz w:val="24"/>
          <w:szCs w:val="24"/>
        </w:rPr>
      </w:pPr>
      <w:r w:rsidRPr="001540C6">
        <w:rPr>
          <w:rFonts w:ascii="Times New Roman" w:hAnsi="Times New Roman" w:cs="Times New Roman"/>
          <w:b/>
          <w:bCs/>
          <w:sz w:val="24"/>
          <w:szCs w:val="24"/>
        </w:rPr>
        <w:t>(c) Sanctions.</w:t>
      </w:r>
    </w:p>
    <w:p w14:paraId="7F11E3E4" w14:textId="4FD9E3DA" w:rsidR="00314C8B" w:rsidRPr="001540C6" w:rsidRDefault="00314C8B" w:rsidP="00F23CD4">
      <w:pPr>
        <w:pStyle w:val="ListParagraph"/>
        <w:spacing w:line="480" w:lineRule="auto"/>
        <w:ind w:left="1440"/>
        <w:rPr>
          <w:rFonts w:ascii="Times New Roman" w:hAnsi="Times New Roman" w:cs="Times New Roman"/>
          <w:sz w:val="24"/>
          <w:szCs w:val="24"/>
        </w:rPr>
      </w:pPr>
      <w:r w:rsidRPr="0052638D">
        <w:rPr>
          <w:rFonts w:ascii="Times New Roman" w:hAnsi="Times New Roman" w:cs="Times New Roman"/>
          <w:b/>
          <w:bCs/>
          <w:sz w:val="24"/>
          <w:szCs w:val="24"/>
        </w:rPr>
        <w:t>(1)</w:t>
      </w:r>
      <w:r w:rsidRPr="001540C6">
        <w:rPr>
          <w:rFonts w:ascii="Times New Roman" w:hAnsi="Times New Roman" w:cs="Times New Roman"/>
          <w:sz w:val="24"/>
          <w:szCs w:val="24"/>
        </w:rPr>
        <w:t xml:space="preserve"> In General. If, after notice and a reasonable opportunity to respond, the court determines that </w:t>
      </w:r>
      <w:r w:rsidRPr="0052638D">
        <w:rPr>
          <w:rFonts w:ascii="Times New Roman" w:hAnsi="Times New Roman" w:cs="Times New Roman"/>
          <w:b/>
          <w:bCs/>
          <w:sz w:val="24"/>
          <w:szCs w:val="24"/>
        </w:rPr>
        <w:t>Rule 11(b)</w:t>
      </w:r>
      <w:r w:rsidRPr="001540C6">
        <w:rPr>
          <w:rFonts w:ascii="Times New Roman" w:hAnsi="Times New Roman" w:cs="Times New Roman"/>
          <w:sz w:val="24"/>
          <w:szCs w:val="24"/>
        </w:rPr>
        <w:t xml:space="preserve"> has been violated, the court may impose an appropriate sanction on any attorney, law firm, or party that violated the rule or is responsible for the violation. Absent exceptional circumstances, a </w:t>
      </w:r>
      <w:r w:rsidRPr="0052638D">
        <w:rPr>
          <w:rFonts w:ascii="Times New Roman" w:hAnsi="Times New Roman" w:cs="Times New Roman"/>
          <w:sz w:val="24"/>
          <w:szCs w:val="24"/>
          <w:u w:val="single"/>
        </w:rPr>
        <w:t>law firm must be held jointly responsible for a violation committed by its partner, associate, or employee</w:t>
      </w:r>
      <w:r w:rsidRPr="001540C6">
        <w:rPr>
          <w:rFonts w:ascii="Times New Roman" w:hAnsi="Times New Roman" w:cs="Times New Roman"/>
          <w:sz w:val="24"/>
          <w:szCs w:val="24"/>
        </w:rPr>
        <w:t>.</w:t>
      </w:r>
    </w:p>
    <w:p w14:paraId="4481B9CB" w14:textId="761AA4AE" w:rsidR="00D03598" w:rsidRPr="001540C6" w:rsidRDefault="00F23CD4" w:rsidP="00F23CD4">
      <w:pPr>
        <w:pStyle w:val="ListParagraph"/>
        <w:spacing w:line="480" w:lineRule="auto"/>
        <w:ind w:left="0"/>
        <w:rPr>
          <w:rFonts w:ascii="Times New Roman" w:hAnsi="Times New Roman" w:cs="Times New Roman"/>
          <w:sz w:val="24"/>
          <w:szCs w:val="24"/>
        </w:rPr>
      </w:pPr>
      <w:r>
        <w:rPr>
          <w:rFonts w:ascii="Times New Roman" w:hAnsi="Times New Roman" w:cs="Times New Roman"/>
          <w:b/>
          <w:bCs/>
          <w:sz w:val="24"/>
          <w:szCs w:val="24"/>
        </w:rPr>
        <w:t xml:space="preserve">2. </w:t>
      </w:r>
      <w:r w:rsidR="00D03598" w:rsidRPr="0052638D">
        <w:rPr>
          <w:rFonts w:ascii="Times New Roman" w:hAnsi="Times New Roman" w:cs="Times New Roman"/>
          <w:b/>
          <w:bCs/>
          <w:sz w:val="24"/>
          <w:szCs w:val="24"/>
        </w:rPr>
        <w:t xml:space="preserve">Rule </w:t>
      </w:r>
      <w:r>
        <w:rPr>
          <w:rFonts w:ascii="Times New Roman" w:hAnsi="Times New Roman" w:cs="Times New Roman"/>
          <w:b/>
          <w:bCs/>
          <w:sz w:val="24"/>
          <w:szCs w:val="24"/>
        </w:rPr>
        <w:t>56</w:t>
      </w:r>
      <w:r w:rsidR="00D03598" w:rsidRPr="0052638D">
        <w:rPr>
          <w:rFonts w:ascii="Times New Roman" w:hAnsi="Times New Roman" w:cs="Times New Roman"/>
          <w:b/>
          <w:bCs/>
          <w:sz w:val="24"/>
          <w:szCs w:val="24"/>
        </w:rPr>
        <w:t xml:space="preserve"> R. Civ. P. 56(c)(1)</w:t>
      </w:r>
      <w:r w:rsidR="00D03598" w:rsidRPr="001540C6">
        <w:rPr>
          <w:rFonts w:ascii="Times New Roman" w:hAnsi="Times New Roman" w:cs="Times New Roman"/>
          <w:sz w:val="24"/>
          <w:szCs w:val="24"/>
        </w:rPr>
        <w:t xml:space="preserve">. Supporting factual positions. “A party asserting </w:t>
      </w:r>
    </w:p>
    <w:p w14:paraId="3FC17DF5" w14:textId="77777777" w:rsidR="00D03598" w:rsidRPr="001540C6" w:rsidRDefault="00D03598" w:rsidP="00F23CD4">
      <w:pPr>
        <w:pStyle w:val="ListParagraph"/>
        <w:spacing w:line="480" w:lineRule="auto"/>
        <w:ind w:left="0"/>
        <w:rPr>
          <w:rFonts w:ascii="Times New Roman" w:hAnsi="Times New Roman" w:cs="Times New Roman"/>
          <w:sz w:val="24"/>
          <w:szCs w:val="24"/>
        </w:rPr>
      </w:pPr>
      <w:r w:rsidRPr="001540C6">
        <w:rPr>
          <w:rFonts w:ascii="Times New Roman" w:hAnsi="Times New Roman" w:cs="Times New Roman"/>
          <w:sz w:val="24"/>
          <w:szCs w:val="24"/>
        </w:rPr>
        <w:t>that a fact cannot be genuinely disputed or is genuinely disputed must support the assertion by:</w:t>
      </w:r>
    </w:p>
    <w:p w14:paraId="7506EF38" w14:textId="77FB4771" w:rsidR="00D03598" w:rsidRPr="001540C6" w:rsidRDefault="00D03598" w:rsidP="00D03598">
      <w:pPr>
        <w:pStyle w:val="ListParagraph"/>
        <w:spacing w:line="480" w:lineRule="auto"/>
        <w:rPr>
          <w:rFonts w:ascii="Times New Roman" w:hAnsi="Times New Roman" w:cs="Times New Roman"/>
          <w:sz w:val="24"/>
          <w:szCs w:val="24"/>
        </w:rPr>
      </w:pPr>
      <w:r w:rsidRPr="0052638D">
        <w:rPr>
          <w:rFonts w:ascii="Times New Roman" w:hAnsi="Times New Roman" w:cs="Times New Roman"/>
          <w:b/>
          <w:bCs/>
          <w:sz w:val="24"/>
          <w:szCs w:val="24"/>
        </w:rPr>
        <w:t>(c)(1)(A)</w:t>
      </w:r>
      <w:r w:rsidRPr="001540C6">
        <w:rPr>
          <w:rFonts w:ascii="Times New Roman" w:hAnsi="Times New Roman" w:cs="Times New Roman"/>
          <w:sz w:val="24"/>
          <w:szCs w:val="24"/>
        </w:rPr>
        <w:t xml:space="preserve"> </w:t>
      </w:r>
      <w:r w:rsidRPr="0052638D">
        <w:rPr>
          <w:rFonts w:ascii="Times New Roman" w:hAnsi="Times New Roman" w:cs="Times New Roman"/>
          <w:sz w:val="24"/>
          <w:szCs w:val="24"/>
          <w:u w:val="single"/>
        </w:rPr>
        <w:t>citing to particular parts of materials in the record</w:t>
      </w:r>
      <w:r w:rsidRPr="001540C6">
        <w:rPr>
          <w:rFonts w:ascii="Times New Roman" w:hAnsi="Times New Roman" w:cs="Times New Roman"/>
          <w:sz w:val="24"/>
          <w:szCs w:val="24"/>
        </w:rPr>
        <w:t>, including depositions, documents, electronically stored information, affidavits or declarations, stipulations (including those made for purposes of the motion only), admissions, interrogatory answers, or other materials;”</w:t>
      </w:r>
    </w:p>
    <w:p w14:paraId="7B8B9CE2" w14:textId="77777777" w:rsidR="00314C8B" w:rsidRPr="001540C6" w:rsidRDefault="00314C8B" w:rsidP="00314C8B">
      <w:pPr>
        <w:pStyle w:val="ListParagraph"/>
        <w:spacing w:line="480" w:lineRule="auto"/>
        <w:rPr>
          <w:rFonts w:ascii="Times New Roman" w:hAnsi="Times New Roman" w:cs="Times New Roman"/>
          <w:sz w:val="24"/>
          <w:szCs w:val="24"/>
        </w:rPr>
      </w:pPr>
    </w:p>
    <w:p w14:paraId="040B385D" w14:textId="77777777" w:rsidR="00D03598" w:rsidRPr="0052638D" w:rsidRDefault="00314C8B" w:rsidP="00314C8B">
      <w:pPr>
        <w:pStyle w:val="ListParagraph"/>
        <w:spacing w:line="480" w:lineRule="auto"/>
        <w:rPr>
          <w:rFonts w:ascii="Times New Roman" w:hAnsi="Times New Roman" w:cs="Times New Roman"/>
          <w:b/>
          <w:bCs/>
          <w:i/>
          <w:iCs/>
          <w:sz w:val="24"/>
          <w:szCs w:val="24"/>
        </w:rPr>
      </w:pPr>
      <w:r w:rsidRPr="001540C6">
        <w:rPr>
          <w:rFonts w:ascii="Times New Roman" w:hAnsi="Times New Roman" w:cs="Times New Roman"/>
          <w:sz w:val="24"/>
          <w:szCs w:val="24"/>
        </w:rPr>
        <w:t xml:space="preserve">"In determining whether sanctions are appropriate, a court must ask, first, whether the parties' claims are objectively frivolous, and, second, whether the person who signed the pleadings should have been aware that they were frivolous. </w:t>
      </w:r>
      <w:r w:rsidRPr="0052638D">
        <w:rPr>
          <w:rFonts w:ascii="Times New Roman" w:hAnsi="Times New Roman" w:cs="Times New Roman"/>
          <w:b/>
          <w:bCs/>
          <w:i/>
          <w:iCs/>
          <w:sz w:val="24"/>
          <w:szCs w:val="24"/>
        </w:rPr>
        <w:t xml:space="preserve">Rogers v. Nacchio, 241 F.App'x 602, 610 (11th Cir. 2007). </w:t>
      </w:r>
    </w:p>
    <w:p w14:paraId="2678DB5D" w14:textId="77777777" w:rsidR="00D03598" w:rsidRPr="001540C6" w:rsidRDefault="00314C8B" w:rsidP="00314C8B">
      <w:pPr>
        <w:pStyle w:val="ListParagraph"/>
        <w:spacing w:line="480" w:lineRule="auto"/>
        <w:rPr>
          <w:rFonts w:ascii="Times New Roman" w:hAnsi="Times New Roman" w:cs="Times New Roman"/>
          <w:sz w:val="24"/>
          <w:szCs w:val="24"/>
        </w:rPr>
      </w:pPr>
      <w:r w:rsidRPr="0052638D">
        <w:rPr>
          <w:rFonts w:ascii="Times New Roman" w:hAnsi="Times New Roman" w:cs="Times New Roman"/>
          <w:b/>
          <w:bCs/>
          <w:sz w:val="24"/>
          <w:szCs w:val="24"/>
        </w:rPr>
        <w:t>Subsection (c) of Rule 11</w:t>
      </w:r>
      <w:r w:rsidRPr="001540C6">
        <w:rPr>
          <w:rFonts w:ascii="Times New Roman" w:hAnsi="Times New Roman" w:cs="Times New Roman"/>
          <w:sz w:val="24"/>
          <w:szCs w:val="24"/>
        </w:rPr>
        <w:t xml:space="preserve"> permits a district court to impose sanctions against a party who files pleadings that contain factual contentions that the party knows to be untrue. </w:t>
      </w:r>
      <w:r w:rsidRPr="0052638D">
        <w:rPr>
          <w:rFonts w:ascii="Times New Roman" w:hAnsi="Times New Roman" w:cs="Times New Roman"/>
          <w:b/>
          <w:bCs/>
          <w:i/>
          <w:iCs/>
          <w:sz w:val="24"/>
          <w:szCs w:val="24"/>
        </w:rPr>
        <w:t>Fed.R.Civ.P. 11(c).</w:t>
      </w:r>
      <w:r w:rsidRPr="001540C6">
        <w:rPr>
          <w:rFonts w:ascii="Times New Roman" w:hAnsi="Times New Roman" w:cs="Times New Roman"/>
          <w:sz w:val="24"/>
          <w:szCs w:val="24"/>
        </w:rPr>
        <w:t xml:space="preserve"> </w:t>
      </w:r>
    </w:p>
    <w:p w14:paraId="413A6472" w14:textId="77777777" w:rsidR="00D03598" w:rsidRPr="0052638D" w:rsidRDefault="00314C8B" w:rsidP="00314C8B">
      <w:pPr>
        <w:pStyle w:val="ListParagraph"/>
        <w:spacing w:line="480" w:lineRule="auto"/>
        <w:rPr>
          <w:rFonts w:ascii="Times New Roman" w:hAnsi="Times New Roman" w:cs="Times New Roman"/>
          <w:i/>
          <w:iCs/>
          <w:sz w:val="24"/>
          <w:szCs w:val="24"/>
        </w:rPr>
      </w:pPr>
      <w:r w:rsidRPr="001540C6">
        <w:rPr>
          <w:rFonts w:ascii="Times New Roman" w:hAnsi="Times New Roman" w:cs="Times New Roman"/>
          <w:sz w:val="24"/>
          <w:szCs w:val="24"/>
        </w:rPr>
        <w:lastRenderedPageBreak/>
        <w:t xml:space="preserve">It also allows for sanctions to be imposed against a party or its attorney for failing to "engage in a reasonable inquiry to determine that the information presented to the court is true." </w:t>
      </w:r>
      <w:r w:rsidRPr="0052638D">
        <w:rPr>
          <w:rFonts w:ascii="Times New Roman" w:hAnsi="Times New Roman" w:cs="Times New Roman"/>
          <w:b/>
          <w:bCs/>
          <w:i/>
          <w:iCs/>
          <w:sz w:val="24"/>
          <w:szCs w:val="24"/>
        </w:rPr>
        <w:t>Logan v. Chestnut, 332. F.App'x 547, 547 (11th Cir. 2009) (citing Fed.R.Civ.P. 11(b)); Worldwide Primates Inc. v. McGreal, 87 F.3d 1252 (11th Cir. 1996)</w:t>
      </w:r>
      <w:r w:rsidRPr="001540C6">
        <w:rPr>
          <w:rFonts w:ascii="Times New Roman" w:hAnsi="Times New Roman" w:cs="Times New Roman"/>
          <w:sz w:val="24"/>
          <w:szCs w:val="24"/>
        </w:rPr>
        <w:t xml:space="preserve"> </w:t>
      </w:r>
      <w:r w:rsidRPr="0052638D">
        <w:rPr>
          <w:rFonts w:ascii="Times New Roman" w:hAnsi="Times New Roman" w:cs="Times New Roman"/>
          <w:i/>
          <w:iCs/>
          <w:sz w:val="24"/>
          <w:szCs w:val="24"/>
        </w:rPr>
        <w:t xml:space="preserve">(affirming award of sanctions against plaintiff and his attorney pursuant to </w:t>
      </w:r>
      <w:r w:rsidRPr="0052638D">
        <w:rPr>
          <w:rFonts w:ascii="Times New Roman" w:hAnsi="Times New Roman" w:cs="Times New Roman"/>
          <w:b/>
          <w:bCs/>
          <w:i/>
          <w:iCs/>
          <w:sz w:val="24"/>
          <w:szCs w:val="24"/>
        </w:rPr>
        <w:t>Rule 11</w:t>
      </w:r>
      <w:r w:rsidRPr="0052638D">
        <w:rPr>
          <w:rFonts w:ascii="Times New Roman" w:hAnsi="Times New Roman" w:cs="Times New Roman"/>
          <w:i/>
          <w:iCs/>
          <w:sz w:val="24"/>
          <w:szCs w:val="24"/>
        </w:rPr>
        <w:t xml:space="preserve"> where the claim was objectively frivolous and the attorney failed to make a reasonable inquiry into the legal and factual basis of the claim). </w:t>
      </w:r>
    </w:p>
    <w:p w14:paraId="526265B6" w14:textId="77777777" w:rsidR="00D03598" w:rsidRPr="0052638D" w:rsidRDefault="00314C8B" w:rsidP="00314C8B">
      <w:pPr>
        <w:pStyle w:val="ListParagraph"/>
        <w:spacing w:line="480" w:lineRule="auto"/>
        <w:rPr>
          <w:rFonts w:ascii="Times New Roman" w:hAnsi="Times New Roman" w:cs="Times New Roman"/>
          <w:i/>
          <w:iCs/>
          <w:sz w:val="24"/>
          <w:szCs w:val="24"/>
        </w:rPr>
      </w:pPr>
      <w:r w:rsidRPr="001540C6">
        <w:rPr>
          <w:rFonts w:ascii="Times New Roman" w:hAnsi="Times New Roman" w:cs="Times New Roman"/>
          <w:sz w:val="24"/>
          <w:szCs w:val="24"/>
        </w:rPr>
        <w:t xml:space="preserve">The purpose of </w:t>
      </w:r>
      <w:r w:rsidRPr="0052638D">
        <w:rPr>
          <w:rFonts w:ascii="Times New Roman" w:hAnsi="Times New Roman" w:cs="Times New Roman"/>
          <w:b/>
          <w:bCs/>
          <w:sz w:val="24"/>
          <w:szCs w:val="24"/>
        </w:rPr>
        <w:t>Rule 11</w:t>
      </w:r>
      <w:r w:rsidRPr="001540C6">
        <w:rPr>
          <w:rFonts w:ascii="Times New Roman" w:hAnsi="Times New Roman" w:cs="Times New Roman"/>
          <w:sz w:val="24"/>
          <w:szCs w:val="24"/>
        </w:rPr>
        <w:t xml:space="preserve"> is "to discourage dilatory or abusive tactics and streamline the litigation process by lessening frivolous claims or defenses."</w:t>
      </w:r>
      <w:r w:rsidRPr="001540C6">
        <w:rPr>
          <w:rFonts w:ascii="Times New Roman" w:hAnsi="Times New Roman" w:cs="Times New Roman"/>
          <w:i/>
          <w:iCs/>
          <w:sz w:val="24"/>
          <w:szCs w:val="24"/>
        </w:rPr>
        <w:t xml:space="preserve"> </w:t>
      </w:r>
      <w:r w:rsidRPr="0052638D">
        <w:rPr>
          <w:rFonts w:ascii="Times New Roman" w:hAnsi="Times New Roman" w:cs="Times New Roman"/>
          <w:b/>
          <w:bCs/>
          <w:i/>
          <w:iCs/>
          <w:sz w:val="24"/>
          <w:szCs w:val="24"/>
        </w:rPr>
        <w:t>Donaldson v. Clark, 819 F.2d 1551, 1556 (11th Cir. 1987) (en bane)</w:t>
      </w:r>
      <w:r w:rsidRPr="001540C6">
        <w:rPr>
          <w:rFonts w:ascii="Times New Roman" w:hAnsi="Times New Roman" w:cs="Times New Roman"/>
          <w:sz w:val="24"/>
          <w:szCs w:val="24"/>
        </w:rPr>
        <w:t xml:space="preserve">. To accomplish this purpose, any interpretation of </w:t>
      </w:r>
      <w:r w:rsidRPr="0052638D">
        <w:rPr>
          <w:rFonts w:ascii="Times New Roman" w:hAnsi="Times New Roman" w:cs="Times New Roman"/>
          <w:b/>
          <w:bCs/>
          <w:sz w:val="24"/>
          <w:szCs w:val="24"/>
        </w:rPr>
        <w:t>Rule 11</w:t>
      </w:r>
      <w:r w:rsidRPr="001540C6">
        <w:rPr>
          <w:rFonts w:ascii="Times New Roman" w:hAnsi="Times New Roman" w:cs="Times New Roman"/>
          <w:sz w:val="24"/>
          <w:szCs w:val="24"/>
        </w:rPr>
        <w:t xml:space="preserve"> "must give effect to the rule's central goal of deterrence." </w:t>
      </w:r>
      <w:r w:rsidRPr="0052638D">
        <w:rPr>
          <w:rFonts w:ascii="Times New Roman" w:hAnsi="Times New Roman" w:cs="Times New Roman"/>
          <w:b/>
          <w:bCs/>
          <w:i/>
          <w:iCs/>
          <w:sz w:val="24"/>
          <w:szCs w:val="24"/>
        </w:rPr>
        <w:t>Cooter &amp; Gell v. Hartmarx Corp., 496 U.S. 384, 393 (1990).</w:t>
      </w:r>
      <w:r w:rsidRPr="001540C6">
        <w:rPr>
          <w:rFonts w:ascii="Times New Roman" w:hAnsi="Times New Roman" w:cs="Times New Roman"/>
          <w:sz w:val="24"/>
          <w:szCs w:val="24"/>
        </w:rPr>
        <w:t xml:space="preserve"> "Rigid application of </w:t>
      </w:r>
      <w:r w:rsidRPr="0052638D">
        <w:rPr>
          <w:rFonts w:ascii="Times New Roman" w:hAnsi="Times New Roman" w:cs="Times New Roman"/>
          <w:b/>
          <w:bCs/>
          <w:sz w:val="24"/>
          <w:szCs w:val="24"/>
        </w:rPr>
        <w:t xml:space="preserve">Rule 11 </w:t>
      </w:r>
      <w:r w:rsidRPr="001540C6">
        <w:rPr>
          <w:rFonts w:ascii="Times New Roman" w:hAnsi="Times New Roman" w:cs="Times New Roman"/>
          <w:sz w:val="24"/>
          <w:szCs w:val="24"/>
        </w:rPr>
        <w:t xml:space="preserve">conditions litigants to consider every transgression as grounds for sanctions. For this reason, although the type and amount of sanctions imposed calls for the district court's discretion, the rule is mandatory in its terms." </w:t>
      </w:r>
      <w:r w:rsidRPr="0052638D">
        <w:rPr>
          <w:rFonts w:ascii="Times New Roman" w:hAnsi="Times New Roman" w:cs="Times New Roman"/>
          <w:b/>
          <w:bCs/>
          <w:i/>
          <w:iCs/>
          <w:sz w:val="24"/>
          <w:szCs w:val="24"/>
        </w:rPr>
        <w:t>Donaldson, 819 F.2d at 1557; Thomas v. Capital Sec. Servs., Inc., 836 F.2d 866, 870 (5th Cir. 1988)</w:t>
      </w:r>
      <w:r w:rsidRPr="001540C6">
        <w:rPr>
          <w:rFonts w:ascii="Times New Roman" w:hAnsi="Times New Roman" w:cs="Times New Roman"/>
          <w:sz w:val="24"/>
          <w:szCs w:val="24"/>
        </w:rPr>
        <w:t xml:space="preserve"> </w:t>
      </w:r>
      <w:r w:rsidRPr="0052638D">
        <w:rPr>
          <w:rFonts w:ascii="Times New Roman" w:hAnsi="Times New Roman" w:cs="Times New Roman"/>
          <w:i/>
          <w:iCs/>
          <w:sz w:val="24"/>
          <w:szCs w:val="24"/>
        </w:rPr>
        <w:t xml:space="preserve">(describing the 1983 amended version of Rule 11 as mandatory and requiring district courts to impose a sanction once a violation of Rule 11 has occurred). </w:t>
      </w:r>
    </w:p>
    <w:p w14:paraId="37E22814" w14:textId="46C2D5AC" w:rsidR="00542A2D" w:rsidRPr="001540C6" w:rsidRDefault="00F23CD4" w:rsidP="00F23CD4">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 xml:space="preserve">3. </w:t>
      </w:r>
      <w:r w:rsidR="00314C8B" w:rsidRPr="001540C6">
        <w:rPr>
          <w:rFonts w:ascii="Times New Roman" w:hAnsi="Times New Roman" w:cs="Times New Roman"/>
          <w:sz w:val="24"/>
          <w:szCs w:val="24"/>
        </w:rPr>
        <w:t xml:space="preserve">By filing the motion to dismiss pursuant to </w:t>
      </w:r>
      <w:r w:rsidR="00314C8B" w:rsidRPr="0052638D">
        <w:rPr>
          <w:rFonts w:ascii="Times New Roman" w:hAnsi="Times New Roman" w:cs="Times New Roman"/>
          <w:b/>
          <w:bCs/>
          <w:sz w:val="24"/>
          <w:szCs w:val="24"/>
        </w:rPr>
        <w:t>Rule 12(b)(6)</w:t>
      </w:r>
      <w:r w:rsidR="00314C8B" w:rsidRPr="001540C6">
        <w:rPr>
          <w:rFonts w:ascii="Times New Roman" w:hAnsi="Times New Roman" w:cs="Times New Roman"/>
          <w:sz w:val="24"/>
          <w:szCs w:val="24"/>
        </w:rPr>
        <w:t>, the Defendant’s counsel certified that:</w:t>
      </w:r>
    </w:p>
    <w:p w14:paraId="76FD3EB0" w14:textId="6FE19725" w:rsidR="00542A2D" w:rsidRPr="001540C6" w:rsidRDefault="00314C8B" w:rsidP="00314C8B">
      <w:pPr>
        <w:pStyle w:val="ListParagraph"/>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 </w:t>
      </w:r>
      <w:r w:rsidRPr="0052638D">
        <w:rPr>
          <w:rFonts w:ascii="Times New Roman" w:hAnsi="Times New Roman" w:cs="Times New Roman"/>
          <w:b/>
          <w:bCs/>
          <w:sz w:val="24"/>
          <w:szCs w:val="24"/>
        </w:rPr>
        <w:t>(</w:t>
      </w:r>
      <w:r w:rsidR="00542A2D" w:rsidRPr="0052638D">
        <w:rPr>
          <w:rFonts w:ascii="Times New Roman" w:hAnsi="Times New Roman" w:cs="Times New Roman"/>
          <w:b/>
          <w:bCs/>
          <w:sz w:val="24"/>
          <w:szCs w:val="24"/>
        </w:rPr>
        <w:t>1)</w:t>
      </w:r>
      <w:r w:rsidR="00542A2D" w:rsidRPr="001540C6">
        <w:rPr>
          <w:rFonts w:ascii="Times New Roman" w:hAnsi="Times New Roman" w:cs="Times New Roman"/>
          <w:sz w:val="24"/>
          <w:szCs w:val="24"/>
        </w:rPr>
        <w:t xml:space="preserve"> [</w:t>
      </w:r>
      <w:r w:rsidRPr="001540C6">
        <w:rPr>
          <w:rFonts w:ascii="Times New Roman" w:hAnsi="Times New Roman" w:cs="Times New Roman"/>
          <w:sz w:val="24"/>
          <w:szCs w:val="24"/>
        </w:rPr>
        <w:t xml:space="preserve">their motion to dismiss] </w:t>
      </w:r>
      <w:r w:rsidRPr="0052638D">
        <w:rPr>
          <w:rFonts w:ascii="Times New Roman" w:hAnsi="Times New Roman" w:cs="Times New Roman"/>
          <w:sz w:val="24"/>
          <w:szCs w:val="24"/>
          <w:u w:val="single"/>
        </w:rPr>
        <w:t>is not being presented for any improper purpose</w:t>
      </w:r>
      <w:r w:rsidRPr="001540C6">
        <w:rPr>
          <w:rFonts w:ascii="Times New Roman" w:hAnsi="Times New Roman" w:cs="Times New Roman"/>
          <w:sz w:val="24"/>
          <w:szCs w:val="24"/>
        </w:rPr>
        <w:t xml:space="preserve">, such as to </w:t>
      </w:r>
      <w:r w:rsidRPr="0052638D">
        <w:rPr>
          <w:rFonts w:ascii="Times New Roman" w:hAnsi="Times New Roman" w:cs="Times New Roman"/>
          <w:sz w:val="24"/>
          <w:szCs w:val="24"/>
          <w:u w:val="single"/>
        </w:rPr>
        <w:t>harass, cause unnecessary delay, or needlessly increase the cost of litigation</w:t>
      </w:r>
      <w:r w:rsidRPr="001540C6">
        <w:rPr>
          <w:rFonts w:ascii="Times New Roman" w:hAnsi="Times New Roman" w:cs="Times New Roman"/>
          <w:sz w:val="24"/>
          <w:szCs w:val="24"/>
        </w:rPr>
        <w:t xml:space="preserve">; </w:t>
      </w:r>
    </w:p>
    <w:p w14:paraId="3FD69169" w14:textId="7C06A638" w:rsidR="00542A2D" w:rsidRPr="001540C6" w:rsidRDefault="00314C8B" w:rsidP="00314C8B">
      <w:pPr>
        <w:pStyle w:val="ListParagraph"/>
        <w:spacing w:line="480" w:lineRule="auto"/>
        <w:rPr>
          <w:rFonts w:ascii="Times New Roman" w:hAnsi="Times New Roman" w:cs="Times New Roman"/>
          <w:sz w:val="24"/>
          <w:szCs w:val="24"/>
        </w:rPr>
      </w:pPr>
      <w:r w:rsidRPr="0052638D">
        <w:rPr>
          <w:rFonts w:ascii="Times New Roman" w:hAnsi="Times New Roman" w:cs="Times New Roman"/>
          <w:b/>
          <w:bCs/>
          <w:sz w:val="24"/>
          <w:szCs w:val="24"/>
        </w:rPr>
        <w:lastRenderedPageBreak/>
        <w:t>(</w:t>
      </w:r>
      <w:r w:rsidR="00542A2D" w:rsidRPr="0052638D">
        <w:rPr>
          <w:rFonts w:ascii="Times New Roman" w:hAnsi="Times New Roman" w:cs="Times New Roman"/>
          <w:b/>
          <w:bCs/>
          <w:sz w:val="24"/>
          <w:szCs w:val="24"/>
        </w:rPr>
        <w:t>2)</w:t>
      </w:r>
      <w:r w:rsidR="00542A2D" w:rsidRPr="001540C6">
        <w:rPr>
          <w:rFonts w:ascii="Times New Roman" w:hAnsi="Times New Roman" w:cs="Times New Roman"/>
          <w:sz w:val="24"/>
          <w:szCs w:val="24"/>
        </w:rPr>
        <w:t xml:space="preserve"> the</w:t>
      </w:r>
      <w:r w:rsidRPr="001540C6">
        <w:rPr>
          <w:rFonts w:ascii="Times New Roman" w:hAnsi="Times New Roman" w:cs="Times New Roman"/>
          <w:sz w:val="24"/>
          <w:szCs w:val="24"/>
        </w:rPr>
        <w:t xml:space="preserve"> defenses, and other legal contentions are </w:t>
      </w:r>
      <w:r w:rsidRPr="0052638D">
        <w:rPr>
          <w:rFonts w:ascii="Times New Roman" w:hAnsi="Times New Roman" w:cs="Times New Roman"/>
          <w:sz w:val="24"/>
          <w:szCs w:val="24"/>
          <w:u w:val="single"/>
        </w:rPr>
        <w:t>warranted by existing law or by a nonfrivolous argument</w:t>
      </w:r>
      <w:r w:rsidRPr="001540C6">
        <w:rPr>
          <w:rFonts w:ascii="Times New Roman" w:hAnsi="Times New Roman" w:cs="Times New Roman"/>
          <w:sz w:val="24"/>
          <w:szCs w:val="24"/>
        </w:rPr>
        <w:t xml:space="preserve"> for extending, modifying, or reversing existing law or for establishing new law; </w:t>
      </w:r>
    </w:p>
    <w:p w14:paraId="2265BFBF" w14:textId="77777777" w:rsidR="00542A2D" w:rsidRPr="001540C6" w:rsidRDefault="00314C8B" w:rsidP="00314C8B">
      <w:pPr>
        <w:pStyle w:val="ListParagraph"/>
        <w:spacing w:line="480" w:lineRule="auto"/>
        <w:rPr>
          <w:rFonts w:ascii="Times New Roman" w:hAnsi="Times New Roman" w:cs="Times New Roman"/>
          <w:sz w:val="24"/>
          <w:szCs w:val="24"/>
        </w:rPr>
      </w:pPr>
      <w:r w:rsidRPr="0052638D">
        <w:rPr>
          <w:rFonts w:ascii="Times New Roman" w:hAnsi="Times New Roman" w:cs="Times New Roman"/>
          <w:b/>
          <w:bCs/>
          <w:sz w:val="24"/>
          <w:szCs w:val="24"/>
        </w:rPr>
        <w:t>(</w:t>
      </w:r>
      <w:r w:rsidR="00542A2D" w:rsidRPr="0052638D">
        <w:rPr>
          <w:rFonts w:ascii="Times New Roman" w:hAnsi="Times New Roman" w:cs="Times New Roman"/>
          <w:b/>
          <w:bCs/>
          <w:sz w:val="24"/>
          <w:szCs w:val="24"/>
        </w:rPr>
        <w:t>3)</w:t>
      </w:r>
      <w:r w:rsidR="00542A2D" w:rsidRPr="001540C6">
        <w:rPr>
          <w:rFonts w:ascii="Times New Roman" w:hAnsi="Times New Roman" w:cs="Times New Roman"/>
          <w:sz w:val="24"/>
          <w:szCs w:val="24"/>
        </w:rPr>
        <w:t xml:space="preserve"> the</w:t>
      </w:r>
      <w:r w:rsidRPr="001540C6">
        <w:rPr>
          <w:rFonts w:ascii="Times New Roman" w:hAnsi="Times New Roman" w:cs="Times New Roman"/>
          <w:sz w:val="24"/>
          <w:szCs w:val="24"/>
        </w:rPr>
        <w:t xml:space="preserve"> factual contentions </w:t>
      </w:r>
      <w:r w:rsidRPr="0052638D">
        <w:rPr>
          <w:rFonts w:ascii="Times New Roman" w:hAnsi="Times New Roman" w:cs="Times New Roman"/>
          <w:sz w:val="24"/>
          <w:szCs w:val="24"/>
          <w:u w:val="single"/>
        </w:rPr>
        <w:t>have evidentiary support</w:t>
      </w:r>
      <w:r w:rsidRPr="001540C6">
        <w:rPr>
          <w:rFonts w:ascii="Times New Roman" w:hAnsi="Times New Roman" w:cs="Times New Roman"/>
          <w:sz w:val="24"/>
          <w:szCs w:val="24"/>
        </w:rPr>
        <w:t xml:space="preserve"> or, if specifically so identified, will likely have evidentiary support after a reasonable opportunity for further investigation or discovery; and </w:t>
      </w:r>
    </w:p>
    <w:p w14:paraId="4640F138" w14:textId="23E4D48E" w:rsidR="00314C8B" w:rsidRPr="001540C6" w:rsidRDefault="00314C8B" w:rsidP="00314C8B">
      <w:pPr>
        <w:pStyle w:val="ListParagraph"/>
        <w:spacing w:line="480" w:lineRule="auto"/>
        <w:rPr>
          <w:rFonts w:ascii="Times New Roman" w:hAnsi="Times New Roman" w:cs="Times New Roman"/>
          <w:sz w:val="24"/>
          <w:szCs w:val="24"/>
        </w:rPr>
      </w:pPr>
      <w:r w:rsidRPr="0052638D">
        <w:rPr>
          <w:rFonts w:ascii="Times New Roman" w:hAnsi="Times New Roman" w:cs="Times New Roman"/>
          <w:b/>
          <w:bCs/>
          <w:sz w:val="24"/>
          <w:szCs w:val="24"/>
        </w:rPr>
        <w:t>(</w:t>
      </w:r>
      <w:r w:rsidR="00542A2D" w:rsidRPr="0052638D">
        <w:rPr>
          <w:rFonts w:ascii="Times New Roman" w:hAnsi="Times New Roman" w:cs="Times New Roman"/>
          <w:b/>
          <w:bCs/>
          <w:sz w:val="24"/>
          <w:szCs w:val="24"/>
        </w:rPr>
        <w:t>4)</w:t>
      </w:r>
      <w:r w:rsidR="00542A2D" w:rsidRPr="001540C6">
        <w:rPr>
          <w:rFonts w:ascii="Times New Roman" w:hAnsi="Times New Roman" w:cs="Times New Roman"/>
          <w:sz w:val="24"/>
          <w:szCs w:val="24"/>
        </w:rPr>
        <w:t xml:space="preserve"> the</w:t>
      </w:r>
      <w:r w:rsidRPr="001540C6">
        <w:rPr>
          <w:rFonts w:ascii="Times New Roman" w:hAnsi="Times New Roman" w:cs="Times New Roman"/>
          <w:sz w:val="24"/>
          <w:szCs w:val="24"/>
        </w:rPr>
        <w:t xml:space="preserve"> denials of factual contentions are </w:t>
      </w:r>
      <w:r w:rsidRPr="0052638D">
        <w:rPr>
          <w:rFonts w:ascii="Times New Roman" w:hAnsi="Times New Roman" w:cs="Times New Roman"/>
          <w:sz w:val="24"/>
          <w:szCs w:val="24"/>
          <w:u w:val="single"/>
        </w:rPr>
        <w:t>warranted on the evidence</w:t>
      </w:r>
      <w:r w:rsidRPr="001540C6">
        <w:rPr>
          <w:rFonts w:ascii="Times New Roman" w:hAnsi="Times New Roman" w:cs="Times New Roman"/>
          <w:sz w:val="24"/>
          <w:szCs w:val="24"/>
        </w:rPr>
        <w:t xml:space="preserve"> or, if specifically so identified, are reasonably based on belief or a lack of information.</w:t>
      </w:r>
    </w:p>
    <w:p w14:paraId="09CA82BD" w14:textId="77777777" w:rsidR="00D03598" w:rsidRPr="001540C6" w:rsidRDefault="00D03598" w:rsidP="00D03598">
      <w:pPr>
        <w:pStyle w:val="ListParagraph"/>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The overwhelming majority of courts have held that “if dismissal motion also tenders </w:t>
      </w:r>
    </w:p>
    <w:p w14:paraId="39063A11" w14:textId="77777777" w:rsidR="00D03598" w:rsidRPr="001540C6" w:rsidRDefault="00D03598" w:rsidP="00D03598">
      <w:pPr>
        <w:pStyle w:val="ListParagraph"/>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for consideration </w:t>
      </w:r>
      <w:r w:rsidRPr="0052638D">
        <w:rPr>
          <w:rFonts w:ascii="Times New Roman" w:hAnsi="Times New Roman" w:cs="Times New Roman"/>
          <w:sz w:val="24"/>
          <w:szCs w:val="24"/>
          <w:u w:val="single"/>
        </w:rPr>
        <w:t>materials outside of pleadings</w:t>
      </w:r>
      <w:r w:rsidRPr="001540C6">
        <w:rPr>
          <w:rFonts w:ascii="Times New Roman" w:hAnsi="Times New Roman" w:cs="Times New Roman"/>
          <w:sz w:val="24"/>
          <w:szCs w:val="24"/>
        </w:rPr>
        <w:t xml:space="preserve">, summary judgment procedure must be </w:t>
      </w:r>
    </w:p>
    <w:p w14:paraId="1CBB1278" w14:textId="5DEC3E36" w:rsidR="00D03598" w:rsidRPr="001540C6" w:rsidRDefault="00D03598" w:rsidP="00D03598">
      <w:pPr>
        <w:pStyle w:val="ListParagraph"/>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utilized. </w:t>
      </w:r>
      <w:r w:rsidRPr="0052638D">
        <w:rPr>
          <w:rFonts w:ascii="Times New Roman" w:hAnsi="Times New Roman" w:cs="Times New Roman"/>
          <w:b/>
          <w:bCs/>
          <w:i/>
          <w:iCs/>
          <w:sz w:val="24"/>
          <w:szCs w:val="24"/>
        </w:rPr>
        <w:t>Bray v. Thomas Energy Systems, Inc., 909 P.2d 1191(1995)</w:t>
      </w:r>
      <w:r w:rsidRPr="0052638D">
        <w:rPr>
          <w:rFonts w:ascii="Times New Roman" w:hAnsi="Times New Roman" w:cs="Times New Roman"/>
          <w:b/>
          <w:bCs/>
          <w:sz w:val="24"/>
          <w:szCs w:val="24"/>
        </w:rPr>
        <w:t>.</w:t>
      </w:r>
    </w:p>
    <w:p w14:paraId="22334419" w14:textId="213B8CB9" w:rsidR="00D03598" w:rsidRPr="001540C6" w:rsidRDefault="00D03598" w:rsidP="00D03598">
      <w:pPr>
        <w:pStyle w:val="ListParagraph"/>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Since the </w:t>
      </w:r>
      <w:r w:rsidR="00475491" w:rsidRPr="001540C6">
        <w:rPr>
          <w:rFonts w:ascii="Times New Roman" w:hAnsi="Times New Roman" w:cs="Times New Roman"/>
          <w:sz w:val="24"/>
          <w:szCs w:val="24"/>
        </w:rPr>
        <w:t>Defendants</w:t>
      </w:r>
      <w:r w:rsidRPr="001540C6">
        <w:rPr>
          <w:rFonts w:ascii="Times New Roman" w:hAnsi="Times New Roman" w:cs="Times New Roman"/>
          <w:sz w:val="24"/>
          <w:szCs w:val="24"/>
        </w:rPr>
        <w:t xml:space="preserve"> are seeking that this action be dismissed under </w:t>
      </w:r>
      <w:r w:rsidR="00EB6AD0" w:rsidRPr="0052638D">
        <w:rPr>
          <w:rFonts w:ascii="Times New Roman" w:hAnsi="Times New Roman" w:cs="Times New Roman"/>
          <w:b/>
          <w:bCs/>
          <w:sz w:val="24"/>
          <w:szCs w:val="24"/>
        </w:rPr>
        <w:t>R</w:t>
      </w:r>
      <w:r w:rsidRPr="0052638D">
        <w:rPr>
          <w:rFonts w:ascii="Times New Roman" w:hAnsi="Times New Roman" w:cs="Times New Roman"/>
          <w:b/>
          <w:bCs/>
          <w:sz w:val="24"/>
          <w:szCs w:val="24"/>
        </w:rPr>
        <w:t>ule 12(b)(6)</w:t>
      </w:r>
      <w:r w:rsidRPr="001540C6">
        <w:rPr>
          <w:rFonts w:ascii="Times New Roman" w:hAnsi="Times New Roman" w:cs="Times New Roman"/>
          <w:sz w:val="24"/>
          <w:szCs w:val="24"/>
        </w:rPr>
        <w:t xml:space="preserve">, </w:t>
      </w:r>
    </w:p>
    <w:p w14:paraId="4B1B73DC" w14:textId="28A56B04" w:rsidR="00D03598" w:rsidRPr="0052638D" w:rsidRDefault="00D03598" w:rsidP="00D03598">
      <w:pPr>
        <w:pStyle w:val="ListParagraph"/>
        <w:spacing w:line="480" w:lineRule="auto"/>
        <w:rPr>
          <w:rFonts w:ascii="Times New Roman" w:hAnsi="Times New Roman" w:cs="Times New Roman"/>
          <w:b/>
          <w:bCs/>
          <w:i/>
          <w:iCs/>
          <w:sz w:val="24"/>
          <w:szCs w:val="24"/>
        </w:rPr>
      </w:pPr>
      <w:r w:rsidRPr="001540C6">
        <w:rPr>
          <w:rFonts w:ascii="Times New Roman" w:hAnsi="Times New Roman" w:cs="Times New Roman"/>
          <w:sz w:val="24"/>
          <w:szCs w:val="24"/>
        </w:rPr>
        <w:t xml:space="preserve">they </w:t>
      </w:r>
      <w:r w:rsidRPr="0052638D">
        <w:rPr>
          <w:rFonts w:ascii="Times New Roman" w:hAnsi="Times New Roman" w:cs="Times New Roman"/>
          <w:sz w:val="24"/>
          <w:szCs w:val="24"/>
          <w:u w:val="single"/>
        </w:rPr>
        <w:t>MUST</w:t>
      </w:r>
      <w:r w:rsidRPr="001540C6">
        <w:rPr>
          <w:rFonts w:ascii="Times New Roman" w:hAnsi="Times New Roman" w:cs="Times New Roman"/>
          <w:sz w:val="24"/>
          <w:szCs w:val="24"/>
        </w:rPr>
        <w:t xml:space="preserve"> support their contentions of </w:t>
      </w:r>
      <w:r w:rsidRPr="0052638D">
        <w:rPr>
          <w:rFonts w:ascii="Times New Roman" w:hAnsi="Times New Roman" w:cs="Times New Roman"/>
          <w:sz w:val="24"/>
          <w:szCs w:val="24"/>
          <w:u w:val="single"/>
        </w:rPr>
        <w:t>material fact with affidavits, depositions, or answers to interrogatories</w:t>
      </w:r>
      <w:r w:rsidRPr="001540C6">
        <w:rPr>
          <w:rFonts w:ascii="Times New Roman" w:hAnsi="Times New Roman" w:cs="Times New Roman"/>
          <w:sz w:val="24"/>
          <w:szCs w:val="24"/>
        </w:rPr>
        <w:t xml:space="preserve"> in order for this court to even consider this motion, otherwise the motion for summary conclusion </w:t>
      </w:r>
      <w:r w:rsidRPr="0052638D">
        <w:rPr>
          <w:rFonts w:ascii="Times New Roman" w:hAnsi="Times New Roman" w:cs="Times New Roman"/>
          <w:sz w:val="24"/>
          <w:szCs w:val="24"/>
          <w:u w:val="single"/>
        </w:rPr>
        <w:t>cannot be considered</w:t>
      </w:r>
      <w:r w:rsidRPr="001540C6">
        <w:rPr>
          <w:rFonts w:ascii="Times New Roman" w:hAnsi="Times New Roman" w:cs="Times New Roman"/>
          <w:sz w:val="24"/>
          <w:szCs w:val="24"/>
        </w:rPr>
        <w:t xml:space="preserve">. “Unsupported contentions of material fact are not sufficient on motion for summary judgment, but rather, material facts must be </w:t>
      </w:r>
      <w:r w:rsidRPr="0052638D">
        <w:rPr>
          <w:rFonts w:ascii="Times New Roman" w:hAnsi="Times New Roman" w:cs="Times New Roman"/>
          <w:sz w:val="24"/>
          <w:szCs w:val="24"/>
          <w:u w:val="single"/>
        </w:rPr>
        <w:t>supported by affidavits and other testimony and documents</w:t>
      </w:r>
      <w:r w:rsidRPr="001540C6">
        <w:rPr>
          <w:rFonts w:ascii="Times New Roman" w:hAnsi="Times New Roman" w:cs="Times New Roman"/>
          <w:sz w:val="24"/>
          <w:szCs w:val="24"/>
        </w:rPr>
        <w:t xml:space="preserve"> that would be admissible in evidence at trial.” </w:t>
      </w:r>
      <w:r w:rsidRPr="0052638D">
        <w:rPr>
          <w:rFonts w:ascii="Times New Roman" w:hAnsi="Times New Roman" w:cs="Times New Roman"/>
          <w:b/>
          <w:bCs/>
          <w:i/>
          <w:iCs/>
          <w:sz w:val="24"/>
          <w:szCs w:val="24"/>
        </w:rPr>
        <w:t>Cinco Enterprises, Inc. V. Benso, Okla., 890 P.2d 866 (1994).</w:t>
      </w:r>
    </w:p>
    <w:p w14:paraId="6D074BD9" w14:textId="7CCCDE4B" w:rsidR="00475491" w:rsidRPr="0052638D" w:rsidRDefault="00475491" w:rsidP="00D03598">
      <w:pPr>
        <w:pStyle w:val="ListParagraph"/>
        <w:spacing w:line="480" w:lineRule="auto"/>
        <w:rPr>
          <w:rFonts w:ascii="Times New Roman" w:hAnsi="Times New Roman" w:cs="Times New Roman"/>
          <w:b/>
          <w:bCs/>
          <w:i/>
          <w:iCs/>
          <w:sz w:val="24"/>
          <w:szCs w:val="24"/>
        </w:rPr>
      </w:pPr>
      <w:r w:rsidRPr="001540C6">
        <w:rPr>
          <w:rFonts w:ascii="Times New Roman" w:hAnsi="Times New Roman" w:cs="Times New Roman"/>
          <w:sz w:val="24"/>
          <w:szCs w:val="24"/>
        </w:rPr>
        <w:t>Defenda</w:t>
      </w:r>
      <w:r w:rsidR="00F06A29">
        <w:rPr>
          <w:rFonts w:ascii="Times New Roman" w:hAnsi="Times New Roman" w:cs="Times New Roman"/>
          <w:sz w:val="24"/>
          <w:szCs w:val="24"/>
        </w:rPr>
        <w:t>nts’</w:t>
      </w:r>
      <w:r w:rsidRPr="001540C6">
        <w:rPr>
          <w:rFonts w:ascii="Times New Roman" w:hAnsi="Times New Roman" w:cs="Times New Roman"/>
          <w:sz w:val="24"/>
          <w:szCs w:val="24"/>
        </w:rPr>
        <w:t xml:space="preserve"> Counsel has </w:t>
      </w:r>
      <w:r w:rsidRPr="0052638D">
        <w:rPr>
          <w:rFonts w:ascii="Times New Roman" w:hAnsi="Times New Roman" w:cs="Times New Roman"/>
          <w:sz w:val="24"/>
          <w:szCs w:val="24"/>
          <w:u w:val="single"/>
        </w:rPr>
        <w:t>failed to meet the minimum requirements</w:t>
      </w:r>
      <w:r w:rsidRPr="001540C6">
        <w:rPr>
          <w:rFonts w:ascii="Times New Roman" w:hAnsi="Times New Roman" w:cs="Times New Roman"/>
          <w:sz w:val="24"/>
          <w:szCs w:val="24"/>
        </w:rPr>
        <w:t xml:space="preserve"> by rule to investigate</w:t>
      </w:r>
      <w:r w:rsidR="00CE14BE" w:rsidRPr="001540C6">
        <w:rPr>
          <w:rFonts w:ascii="Times New Roman" w:hAnsi="Times New Roman" w:cs="Times New Roman"/>
          <w:sz w:val="24"/>
          <w:szCs w:val="24"/>
        </w:rPr>
        <w:t xml:space="preserve"> and inquire about the facts surrounding the Plaintiffs</w:t>
      </w:r>
      <w:r w:rsidR="00F06A29">
        <w:rPr>
          <w:rFonts w:ascii="Times New Roman" w:hAnsi="Times New Roman" w:cs="Times New Roman"/>
          <w:sz w:val="24"/>
          <w:szCs w:val="24"/>
        </w:rPr>
        <w:t>’</w:t>
      </w:r>
      <w:r w:rsidR="00CE14BE" w:rsidRPr="001540C6">
        <w:rPr>
          <w:rFonts w:ascii="Times New Roman" w:hAnsi="Times New Roman" w:cs="Times New Roman"/>
          <w:sz w:val="24"/>
          <w:szCs w:val="24"/>
        </w:rPr>
        <w:t xml:space="preserve"> Complaint. Defen</w:t>
      </w:r>
      <w:r w:rsidR="00F06A29">
        <w:rPr>
          <w:rFonts w:ascii="Times New Roman" w:hAnsi="Times New Roman" w:cs="Times New Roman"/>
          <w:sz w:val="24"/>
          <w:szCs w:val="24"/>
        </w:rPr>
        <w:t xml:space="preserve">se </w:t>
      </w:r>
      <w:r w:rsidR="00CE14BE" w:rsidRPr="001540C6">
        <w:rPr>
          <w:rFonts w:ascii="Times New Roman" w:hAnsi="Times New Roman" w:cs="Times New Roman"/>
          <w:sz w:val="24"/>
          <w:szCs w:val="24"/>
        </w:rPr>
        <w:t xml:space="preserve">Counsel has used a </w:t>
      </w:r>
      <w:r w:rsidR="00F06A29">
        <w:rPr>
          <w:rFonts w:ascii="Times New Roman" w:hAnsi="Times New Roman" w:cs="Times New Roman"/>
          <w:sz w:val="24"/>
          <w:szCs w:val="24"/>
        </w:rPr>
        <w:t>‘</w:t>
      </w:r>
      <w:r w:rsidR="00CE14BE" w:rsidRPr="001540C6">
        <w:rPr>
          <w:rFonts w:ascii="Times New Roman" w:hAnsi="Times New Roman" w:cs="Times New Roman"/>
          <w:sz w:val="24"/>
          <w:szCs w:val="24"/>
        </w:rPr>
        <w:t>copy and paste</w:t>
      </w:r>
      <w:r w:rsidR="00F06A29">
        <w:rPr>
          <w:rFonts w:ascii="Times New Roman" w:hAnsi="Times New Roman" w:cs="Times New Roman"/>
          <w:sz w:val="24"/>
          <w:szCs w:val="24"/>
        </w:rPr>
        <w:t>’</w:t>
      </w:r>
      <w:r w:rsidR="00CE14BE" w:rsidRPr="001540C6">
        <w:rPr>
          <w:rFonts w:ascii="Times New Roman" w:hAnsi="Times New Roman" w:cs="Times New Roman"/>
          <w:sz w:val="24"/>
          <w:szCs w:val="24"/>
        </w:rPr>
        <w:t xml:space="preserve"> style reply, instead of investigating the law, rules, or facts of the current controversy.</w:t>
      </w:r>
      <w:r w:rsidR="005B74E1" w:rsidRPr="001540C6">
        <w:rPr>
          <w:rFonts w:ascii="Times New Roman" w:hAnsi="Times New Roman" w:cs="Times New Roman"/>
          <w:sz w:val="24"/>
          <w:szCs w:val="24"/>
        </w:rPr>
        <w:t xml:space="preserve"> </w:t>
      </w:r>
      <w:r w:rsidRPr="001540C6">
        <w:rPr>
          <w:rFonts w:ascii="Times New Roman" w:hAnsi="Times New Roman" w:cs="Times New Roman"/>
          <w:sz w:val="24"/>
          <w:szCs w:val="24"/>
        </w:rPr>
        <w:t xml:space="preserve">Statements of counsel in brief or in argument are not sufficient for a </w:t>
      </w:r>
      <w:r w:rsidRPr="001540C6">
        <w:rPr>
          <w:rFonts w:ascii="Times New Roman" w:hAnsi="Times New Roman" w:cs="Times New Roman"/>
          <w:sz w:val="24"/>
          <w:szCs w:val="24"/>
        </w:rPr>
        <w:lastRenderedPageBreak/>
        <w:t>motion to dismiss or for summary judgment</w:t>
      </w:r>
      <w:r w:rsidRPr="0052638D">
        <w:rPr>
          <w:rFonts w:ascii="Times New Roman" w:hAnsi="Times New Roman" w:cs="Times New Roman"/>
          <w:b/>
          <w:bCs/>
          <w:sz w:val="24"/>
          <w:szCs w:val="24"/>
        </w:rPr>
        <w:t xml:space="preserve">, </w:t>
      </w:r>
      <w:r w:rsidRPr="0052638D">
        <w:rPr>
          <w:rFonts w:ascii="Times New Roman" w:hAnsi="Times New Roman" w:cs="Times New Roman"/>
          <w:b/>
          <w:bCs/>
          <w:i/>
          <w:iCs/>
          <w:sz w:val="24"/>
          <w:szCs w:val="24"/>
        </w:rPr>
        <w:t>Trinsey v. Pagliaro, D.C. Pa. 1964, 229 F. Supp. 647.</w:t>
      </w:r>
    </w:p>
    <w:p w14:paraId="1AE09E7C" w14:textId="09E96094" w:rsidR="00650376" w:rsidRDefault="00650376" w:rsidP="00D03598">
      <w:pPr>
        <w:pStyle w:val="ListParagraph"/>
        <w:spacing w:line="480" w:lineRule="auto"/>
        <w:rPr>
          <w:rFonts w:ascii="Times New Roman" w:hAnsi="Times New Roman" w:cs="Times New Roman"/>
          <w:b/>
          <w:bCs/>
          <w:i/>
          <w:iCs/>
          <w:sz w:val="24"/>
          <w:szCs w:val="24"/>
        </w:rPr>
      </w:pPr>
      <w:r w:rsidRPr="001540C6">
        <w:rPr>
          <w:rFonts w:ascii="Times New Roman" w:hAnsi="Times New Roman" w:cs="Times New Roman"/>
          <w:sz w:val="24"/>
          <w:szCs w:val="24"/>
        </w:rPr>
        <w:t>Pro se pleadings, “however inartfully pleaded,” must be held to “less stringent standards than formal pleadings drafted by lawyers</w:t>
      </w:r>
      <w:r w:rsidRPr="001540C6">
        <w:rPr>
          <w:rFonts w:ascii="Times New Roman" w:hAnsi="Times New Roman" w:cs="Times New Roman"/>
          <w:i/>
          <w:iCs/>
          <w:sz w:val="24"/>
          <w:szCs w:val="24"/>
        </w:rPr>
        <w:t xml:space="preserve">.” </w:t>
      </w:r>
      <w:r w:rsidRPr="0052638D">
        <w:rPr>
          <w:rFonts w:ascii="Times New Roman" w:hAnsi="Times New Roman" w:cs="Times New Roman"/>
          <w:b/>
          <w:bCs/>
          <w:i/>
          <w:iCs/>
          <w:sz w:val="24"/>
          <w:szCs w:val="24"/>
        </w:rPr>
        <w:t>Haines v. Kerner, 404 U.S. 519, 520-521 (1972)</w:t>
      </w:r>
      <w:r w:rsidRPr="0052638D">
        <w:rPr>
          <w:rFonts w:ascii="Times New Roman" w:hAnsi="Times New Roman" w:cs="Times New Roman"/>
          <w:b/>
          <w:bCs/>
          <w:sz w:val="24"/>
          <w:szCs w:val="24"/>
        </w:rPr>
        <w:t>.</w:t>
      </w:r>
      <w:r w:rsidRPr="001540C6">
        <w:rPr>
          <w:rFonts w:ascii="Times New Roman" w:hAnsi="Times New Roman" w:cs="Times New Roman"/>
          <w:sz w:val="24"/>
          <w:szCs w:val="24"/>
        </w:rPr>
        <w:t xml:space="preserve">  If the court can reasonably read pleadings to state a valid claim on which the litigant could prevail, it should do so despite failure to cite proper legal authority, confusion of legal theories, poor syntax and sentence construction, or litigant’s unfamiliarity with pleading requirements. </w:t>
      </w:r>
      <w:r w:rsidRPr="0052638D">
        <w:rPr>
          <w:rFonts w:ascii="Times New Roman" w:hAnsi="Times New Roman" w:cs="Times New Roman"/>
          <w:b/>
          <w:bCs/>
          <w:i/>
          <w:iCs/>
          <w:sz w:val="24"/>
          <w:szCs w:val="24"/>
        </w:rPr>
        <w:t>Boag v. MacDougall, 454 U.S. 364 (1982); United States ex rel. Montgomery v. Bierley, 141 F.2d 552, 555 (3d Cir. 1969</w:t>
      </w:r>
      <w:r w:rsidR="00F04D8B" w:rsidRPr="0052638D">
        <w:rPr>
          <w:rFonts w:ascii="Times New Roman" w:hAnsi="Times New Roman" w:cs="Times New Roman"/>
          <w:b/>
          <w:bCs/>
          <w:i/>
          <w:iCs/>
          <w:sz w:val="24"/>
          <w:szCs w:val="24"/>
        </w:rPr>
        <w:t>)</w:t>
      </w:r>
    </w:p>
    <w:p w14:paraId="592AB57A" w14:textId="77777777" w:rsidR="00F04D8B" w:rsidRPr="001540C6" w:rsidRDefault="00F04D8B" w:rsidP="00D03598">
      <w:pPr>
        <w:pStyle w:val="ListParagraph"/>
        <w:spacing w:line="480" w:lineRule="auto"/>
        <w:rPr>
          <w:rFonts w:ascii="Times New Roman" w:hAnsi="Times New Roman" w:cs="Times New Roman"/>
          <w:i/>
          <w:iCs/>
          <w:sz w:val="24"/>
          <w:szCs w:val="24"/>
        </w:rPr>
      </w:pPr>
    </w:p>
    <w:p w14:paraId="63B78110" w14:textId="0F2E2336" w:rsidR="00650376" w:rsidRDefault="00650376" w:rsidP="00650376">
      <w:pPr>
        <w:pStyle w:val="ListParagraph"/>
        <w:numPr>
          <w:ilvl w:val="0"/>
          <w:numId w:val="1"/>
        </w:numPr>
        <w:spacing w:line="480" w:lineRule="auto"/>
        <w:jc w:val="center"/>
        <w:rPr>
          <w:rFonts w:ascii="Times New Roman" w:hAnsi="Times New Roman" w:cs="Times New Roman"/>
          <w:b/>
          <w:bCs/>
          <w:sz w:val="24"/>
          <w:szCs w:val="24"/>
          <w:u w:val="single"/>
        </w:rPr>
      </w:pPr>
      <w:r w:rsidRPr="001540C6">
        <w:rPr>
          <w:rFonts w:ascii="Times New Roman" w:hAnsi="Times New Roman" w:cs="Times New Roman"/>
          <w:b/>
          <w:bCs/>
          <w:sz w:val="24"/>
          <w:szCs w:val="24"/>
          <w:u w:val="single"/>
        </w:rPr>
        <w:t>CONCLUSION</w:t>
      </w:r>
    </w:p>
    <w:p w14:paraId="78097E6B" w14:textId="77777777" w:rsidR="00F04D8B" w:rsidRPr="001540C6" w:rsidRDefault="00F04D8B" w:rsidP="0052638D">
      <w:pPr>
        <w:pStyle w:val="ListParagraph"/>
        <w:spacing w:line="480" w:lineRule="auto"/>
        <w:rPr>
          <w:rFonts w:ascii="Times New Roman" w:hAnsi="Times New Roman" w:cs="Times New Roman"/>
          <w:b/>
          <w:bCs/>
          <w:sz w:val="24"/>
          <w:szCs w:val="24"/>
          <w:u w:val="single"/>
        </w:rPr>
      </w:pPr>
    </w:p>
    <w:p w14:paraId="590DF6E2" w14:textId="66C2D4F5" w:rsidR="00650376" w:rsidRPr="001540C6" w:rsidRDefault="00751F67" w:rsidP="0091155F">
      <w:pPr>
        <w:pStyle w:val="ListParagraph"/>
        <w:spacing w:line="480" w:lineRule="auto"/>
        <w:ind w:left="0"/>
        <w:rPr>
          <w:rFonts w:ascii="Times New Roman" w:hAnsi="Times New Roman" w:cs="Times New Roman"/>
          <w:sz w:val="24"/>
          <w:szCs w:val="24"/>
        </w:rPr>
      </w:pPr>
      <w:r w:rsidRPr="001540C6">
        <w:rPr>
          <w:rFonts w:ascii="Times New Roman" w:hAnsi="Times New Roman" w:cs="Times New Roman"/>
          <w:sz w:val="24"/>
          <w:szCs w:val="24"/>
        </w:rPr>
        <w:t xml:space="preserve">Federal Courts are empowered to "'protect the administration of justice by levying sanctions in response to abusive litigation practices.'" </w:t>
      </w:r>
      <w:r w:rsidRPr="0052638D">
        <w:rPr>
          <w:rFonts w:ascii="Times New Roman" w:hAnsi="Times New Roman" w:cs="Times New Roman"/>
          <w:b/>
          <w:bCs/>
          <w:i/>
          <w:iCs/>
          <w:sz w:val="24"/>
          <w:szCs w:val="24"/>
        </w:rPr>
        <w:t>Kovilic Const. Co., v. Missbrenner, 106 F.3d 768, 772-73 (7th Cir. 1997); Brockton Sav. Bank v. Peat, Marwick, Mitchell &amp; Co., 771 F.2d 5, 11 (1st Cir. 1985), cert. denied, 475 U.S. 1018 (1986), quoting Penthouse Int'l, Ltd. v. Playboy Enters., 663 F.2d 371, 386 (2d Cir. 1981).</w:t>
      </w:r>
    </w:p>
    <w:p w14:paraId="5B70B729" w14:textId="0E2F78EA" w:rsidR="00751F67" w:rsidRPr="001540C6" w:rsidRDefault="00751F67" w:rsidP="00650376">
      <w:pPr>
        <w:pStyle w:val="ListParagraph"/>
        <w:spacing w:line="480" w:lineRule="auto"/>
        <w:rPr>
          <w:rFonts w:ascii="Times New Roman" w:hAnsi="Times New Roman" w:cs="Times New Roman"/>
          <w:sz w:val="24"/>
          <w:szCs w:val="24"/>
        </w:rPr>
      </w:pPr>
    </w:p>
    <w:p w14:paraId="35E20A0B" w14:textId="4817D37B" w:rsidR="00751F67" w:rsidRPr="001540C6" w:rsidRDefault="00751F67" w:rsidP="00751F67">
      <w:pPr>
        <w:pStyle w:val="ListParagraph"/>
        <w:spacing w:line="480" w:lineRule="auto"/>
        <w:jc w:val="right"/>
        <w:rPr>
          <w:rFonts w:ascii="Times New Roman" w:hAnsi="Times New Roman" w:cs="Times New Roman"/>
          <w:sz w:val="24"/>
          <w:szCs w:val="24"/>
        </w:rPr>
      </w:pPr>
      <w:r w:rsidRPr="001540C6">
        <w:rPr>
          <w:rFonts w:ascii="Times New Roman" w:hAnsi="Times New Roman" w:cs="Times New Roman"/>
          <w:sz w:val="24"/>
          <w:szCs w:val="24"/>
        </w:rPr>
        <w:t>_________________________</w:t>
      </w:r>
    </w:p>
    <w:p w14:paraId="11158E6F" w14:textId="0E72BE12" w:rsidR="00314C8B" w:rsidRPr="0052638D" w:rsidRDefault="000C32D4" w:rsidP="00751F67">
      <w:pPr>
        <w:pStyle w:val="ListParagraph"/>
        <w:jc w:val="right"/>
        <w:rPr>
          <w:rFonts w:ascii="Times New Roman" w:hAnsi="Times New Roman" w:cs="Times New Roman"/>
          <w:sz w:val="24"/>
          <w:szCs w:val="24"/>
        </w:rPr>
      </w:pPr>
      <w:r>
        <w:rPr>
          <w:rFonts w:ascii="Times New Roman" w:hAnsi="Times New Roman" w:cs="Times New Roman"/>
          <w:sz w:val="24"/>
          <w:szCs w:val="24"/>
        </w:rPr>
        <w:t>Howard Brown</w:t>
      </w:r>
      <w:r w:rsidR="00751F67" w:rsidRPr="0052638D">
        <w:rPr>
          <w:rFonts w:ascii="Times New Roman" w:hAnsi="Times New Roman" w:cs="Times New Roman"/>
          <w:sz w:val="24"/>
          <w:szCs w:val="24"/>
        </w:rPr>
        <w:t xml:space="preserve">, </w:t>
      </w:r>
      <w:r w:rsidR="00751F67" w:rsidRPr="0052638D">
        <w:rPr>
          <w:rFonts w:ascii="Times New Roman" w:hAnsi="Times New Roman" w:cs="Times New Roman"/>
          <w:i/>
          <w:iCs/>
          <w:sz w:val="24"/>
          <w:szCs w:val="24"/>
        </w:rPr>
        <w:t>pro se</w:t>
      </w:r>
    </w:p>
    <w:sectPr w:rsidR="00314C8B" w:rsidRPr="0052638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D9BA3" w14:textId="77777777" w:rsidR="00F7215E" w:rsidRDefault="00F7215E" w:rsidP="005B74E1">
      <w:pPr>
        <w:spacing w:after="0" w:line="240" w:lineRule="auto"/>
      </w:pPr>
      <w:r>
        <w:separator/>
      </w:r>
    </w:p>
  </w:endnote>
  <w:endnote w:type="continuationSeparator" w:id="0">
    <w:p w14:paraId="4C93D266" w14:textId="77777777" w:rsidR="00F7215E" w:rsidRDefault="00F7215E" w:rsidP="005B7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037911"/>
      <w:docPartObj>
        <w:docPartGallery w:val="Page Numbers (Bottom of Page)"/>
        <w:docPartUnique/>
      </w:docPartObj>
    </w:sdtPr>
    <w:sdtEndPr>
      <w:rPr>
        <w:color w:val="7F7F7F" w:themeColor="background1" w:themeShade="7F"/>
        <w:spacing w:val="60"/>
      </w:rPr>
    </w:sdtEndPr>
    <w:sdtContent>
      <w:p w14:paraId="0643A8C2" w14:textId="2AEFB2B7" w:rsidR="005B74E1" w:rsidRDefault="005B74E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7E0E2A94" w14:textId="77777777" w:rsidR="005B74E1" w:rsidRDefault="005B7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A46B6" w14:textId="77777777" w:rsidR="00F7215E" w:rsidRDefault="00F7215E" w:rsidP="005B74E1">
      <w:pPr>
        <w:spacing w:after="0" w:line="240" w:lineRule="auto"/>
      </w:pPr>
      <w:r>
        <w:separator/>
      </w:r>
    </w:p>
  </w:footnote>
  <w:footnote w:type="continuationSeparator" w:id="0">
    <w:p w14:paraId="2C60760A" w14:textId="77777777" w:rsidR="00F7215E" w:rsidRDefault="00F7215E" w:rsidP="005B74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05300"/>
    <w:multiLevelType w:val="hybridMultilevel"/>
    <w:tmpl w:val="17961F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34379"/>
    <w:multiLevelType w:val="hybridMultilevel"/>
    <w:tmpl w:val="8A7AD2E2"/>
    <w:lvl w:ilvl="0" w:tplc="09B60ED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74141758">
    <w:abstractNumId w:val="1"/>
  </w:num>
  <w:num w:numId="2" w16cid:durableId="1723092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010"/>
    <w:rsid w:val="00071350"/>
    <w:rsid w:val="000C323F"/>
    <w:rsid w:val="000C32D4"/>
    <w:rsid w:val="000D1190"/>
    <w:rsid w:val="000E50B6"/>
    <w:rsid w:val="00111A3B"/>
    <w:rsid w:val="001540C6"/>
    <w:rsid w:val="00162D18"/>
    <w:rsid w:val="001A0E34"/>
    <w:rsid w:val="00207BE1"/>
    <w:rsid w:val="002336C6"/>
    <w:rsid w:val="00241CF0"/>
    <w:rsid w:val="002C0CDF"/>
    <w:rsid w:val="002E1B6F"/>
    <w:rsid w:val="002F795A"/>
    <w:rsid w:val="00314C8B"/>
    <w:rsid w:val="00382D96"/>
    <w:rsid w:val="003B507D"/>
    <w:rsid w:val="00475491"/>
    <w:rsid w:val="00494A8A"/>
    <w:rsid w:val="004A5DD0"/>
    <w:rsid w:val="0052638D"/>
    <w:rsid w:val="00542A2D"/>
    <w:rsid w:val="00593445"/>
    <w:rsid w:val="005B74E1"/>
    <w:rsid w:val="00650376"/>
    <w:rsid w:val="006A513D"/>
    <w:rsid w:val="006D4F9E"/>
    <w:rsid w:val="00705A5D"/>
    <w:rsid w:val="00751F67"/>
    <w:rsid w:val="007C009D"/>
    <w:rsid w:val="007C2902"/>
    <w:rsid w:val="008157D6"/>
    <w:rsid w:val="008804BF"/>
    <w:rsid w:val="008A7ED4"/>
    <w:rsid w:val="008F33CA"/>
    <w:rsid w:val="0091155F"/>
    <w:rsid w:val="00937296"/>
    <w:rsid w:val="00B1117D"/>
    <w:rsid w:val="00B66239"/>
    <w:rsid w:val="00BD2EAA"/>
    <w:rsid w:val="00BD3567"/>
    <w:rsid w:val="00C20010"/>
    <w:rsid w:val="00C3711C"/>
    <w:rsid w:val="00C74B6A"/>
    <w:rsid w:val="00CE14BE"/>
    <w:rsid w:val="00D03598"/>
    <w:rsid w:val="00D45ECA"/>
    <w:rsid w:val="00EB6AD0"/>
    <w:rsid w:val="00F04D8B"/>
    <w:rsid w:val="00F06A29"/>
    <w:rsid w:val="00F23CD4"/>
    <w:rsid w:val="00F72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0B11"/>
  <w15:chartTrackingRefBased/>
  <w15:docId w15:val="{100252A6-4D24-410F-92D0-5CE00BDA3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0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4C8B"/>
    <w:pPr>
      <w:ind w:left="720"/>
      <w:contextualSpacing/>
    </w:pPr>
  </w:style>
  <w:style w:type="paragraph" w:styleId="Header">
    <w:name w:val="header"/>
    <w:basedOn w:val="Normal"/>
    <w:link w:val="HeaderChar"/>
    <w:uiPriority w:val="99"/>
    <w:unhideWhenUsed/>
    <w:rsid w:val="005B74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74E1"/>
  </w:style>
  <w:style w:type="paragraph" w:styleId="Footer">
    <w:name w:val="footer"/>
    <w:basedOn w:val="Normal"/>
    <w:link w:val="FooterChar"/>
    <w:uiPriority w:val="99"/>
    <w:unhideWhenUsed/>
    <w:rsid w:val="005B74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74E1"/>
  </w:style>
  <w:style w:type="paragraph" w:styleId="Revision">
    <w:name w:val="Revision"/>
    <w:hidden/>
    <w:uiPriority w:val="99"/>
    <w:semiHidden/>
    <w:rsid w:val="008804BF"/>
    <w:pPr>
      <w:spacing w:after="0" w:line="240" w:lineRule="auto"/>
    </w:pPr>
  </w:style>
  <w:style w:type="character" w:styleId="CommentReference">
    <w:name w:val="annotation reference"/>
    <w:basedOn w:val="DefaultParagraphFont"/>
    <w:uiPriority w:val="99"/>
    <w:semiHidden/>
    <w:unhideWhenUsed/>
    <w:rsid w:val="008804BF"/>
    <w:rPr>
      <w:sz w:val="16"/>
      <w:szCs w:val="16"/>
    </w:rPr>
  </w:style>
  <w:style w:type="paragraph" w:styleId="CommentText">
    <w:name w:val="annotation text"/>
    <w:basedOn w:val="Normal"/>
    <w:link w:val="CommentTextChar"/>
    <w:uiPriority w:val="99"/>
    <w:unhideWhenUsed/>
    <w:rsid w:val="008804BF"/>
    <w:pPr>
      <w:spacing w:line="240" w:lineRule="auto"/>
    </w:pPr>
    <w:rPr>
      <w:sz w:val="20"/>
      <w:szCs w:val="20"/>
    </w:rPr>
  </w:style>
  <w:style w:type="character" w:customStyle="1" w:styleId="CommentTextChar">
    <w:name w:val="Comment Text Char"/>
    <w:basedOn w:val="DefaultParagraphFont"/>
    <w:link w:val="CommentText"/>
    <w:uiPriority w:val="99"/>
    <w:rsid w:val="008804BF"/>
    <w:rPr>
      <w:sz w:val="20"/>
      <w:szCs w:val="20"/>
    </w:rPr>
  </w:style>
  <w:style w:type="paragraph" w:styleId="CommentSubject">
    <w:name w:val="annotation subject"/>
    <w:basedOn w:val="CommentText"/>
    <w:next w:val="CommentText"/>
    <w:link w:val="CommentSubjectChar"/>
    <w:uiPriority w:val="99"/>
    <w:semiHidden/>
    <w:unhideWhenUsed/>
    <w:rsid w:val="008804BF"/>
    <w:rPr>
      <w:b/>
      <w:bCs/>
    </w:rPr>
  </w:style>
  <w:style w:type="character" w:customStyle="1" w:styleId="CommentSubjectChar">
    <w:name w:val="Comment Subject Char"/>
    <w:basedOn w:val="CommentTextChar"/>
    <w:link w:val="CommentSubject"/>
    <w:uiPriority w:val="99"/>
    <w:semiHidden/>
    <w:rsid w:val="008804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1335</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25</cp:revision>
  <dcterms:created xsi:type="dcterms:W3CDTF">2022-08-03T19:14:00Z</dcterms:created>
  <dcterms:modified xsi:type="dcterms:W3CDTF">2022-08-21T21:42:00Z</dcterms:modified>
</cp:coreProperties>
</file>